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101DD" w14:textId="0BEE04CB" w:rsidR="00EE17E8" w:rsidRPr="00EE17E8" w:rsidRDefault="00EE17E8" w:rsidP="00EE17E8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548DD4" w:themeColor="text2" w:themeTint="99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Pr="00EE17E8">
        <w:rPr>
          <w:rFonts w:ascii="Times New Roman" w:eastAsia="Times New Roman" w:hAnsi="Times New Roman" w:cs="Times New Roman"/>
          <w:b/>
          <w:bCs/>
          <w:color w:val="548DD4" w:themeColor="text2" w:themeTint="99"/>
          <w:lang w:eastAsia="ru-RU"/>
        </w:rPr>
        <w:t>Часть VI ТЕХНИЧЕСКАЯ ЧАСТЬ ЗАКУПОЧНОЙ ДОКУМЕНТАЦИИ.</w:t>
      </w:r>
    </w:p>
    <w:p w14:paraId="47C9DB31" w14:textId="77777777" w:rsidR="000E1DF1" w:rsidRPr="00EE17E8" w:rsidRDefault="000E1DF1">
      <w:pPr>
        <w:shd w:val="clear" w:color="auto" w:fill="FFFFFF" w:themeFill="background1"/>
        <w:suppressAutoHyphens/>
        <w:spacing w:after="0" w:line="252" w:lineRule="auto"/>
        <w:ind w:firstLine="709"/>
        <w:jc w:val="center"/>
        <w:rPr>
          <w:rFonts w:ascii="Times New Roman" w:eastAsia="SimSun" w:hAnsi="Times New Roman" w:cs="font260"/>
          <w:b/>
          <w:bCs/>
          <w:color w:val="548DD4" w:themeColor="text2" w:themeTint="99"/>
          <w:sz w:val="28"/>
          <w:szCs w:val="28"/>
          <w:lang w:eastAsia="ar-SA"/>
        </w:rPr>
      </w:pPr>
    </w:p>
    <w:p w14:paraId="25EAB148" w14:textId="77777777" w:rsidR="000E1DF1" w:rsidRDefault="000E1DF1">
      <w:pPr>
        <w:shd w:val="clear" w:color="auto" w:fill="FFFFFF" w:themeFill="background1"/>
        <w:suppressAutoHyphens/>
        <w:spacing w:after="0" w:line="252" w:lineRule="auto"/>
        <w:ind w:firstLine="709"/>
        <w:jc w:val="center"/>
        <w:rPr>
          <w:rFonts w:ascii="Times New Roman" w:eastAsia="SimSun" w:hAnsi="Times New Roman" w:cs="font260"/>
          <w:sz w:val="28"/>
          <w:szCs w:val="28"/>
          <w:lang w:eastAsia="ar-SA"/>
        </w:rPr>
      </w:pPr>
    </w:p>
    <w:p w14:paraId="379FDFC3" w14:textId="77777777" w:rsidR="000E1DF1" w:rsidRDefault="00423114">
      <w:pPr>
        <w:shd w:val="clear" w:color="auto" w:fill="FFFFFF" w:themeFill="background1"/>
        <w:suppressAutoHyphens/>
        <w:spacing w:after="0" w:line="252" w:lineRule="auto"/>
        <w:ind w:firstLine="709"/>
        <w:rPr>
          <w:rFonts w:ascii="Times New Roman" w:eastAsia="SimSun" w:hAnsi="Times New Roman" w:cs="font260"/>
          <w:sz w:val="28"/>
          <w:szCs w:val="28"/>
          <w:lang w:eastAsia="ar-SA"/>
        </w:rPr>
      </w:pPr>
      <w:r>
        <w:rPr>
          <w:rFonts w:ascii="Arial" w:hAnsi="Arial" w:cs="Arial"/>
          <w:b/>
          <w:bCs/>
          <w:noProof/>
          <w:color w:val="215868"/>
          <w:sz w:val="20"/>
          <w:szCs w:val="20"/>
          <w:lang w:eastAsia="ru-RU"/>
        </w:rPr>
        <w:drawing>
          <wp:inline distT="0" distB="0" distL="0" distR="0" wp14:anchorId="3C10341F" wp14:editId="54AC5636">
            <wp:extent cx="1662430" cy="260350"/>
            <wp:effectExtent l="0" t="0" r="0" b="6350"/>
            <wp:docPr id="3" name="Рисунок 3" descr="logo_frii_sig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logo_frii_sign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3157" cy="343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8160F" w14:textId="77777777" w:rsidR="000E1DF1" w:rsidRDefault="000E1DF1">
      <w:pPr>
        <w:shd w:val="clear" w:color="auto" w:fill="FFFFFF" w:themeFill="background1"/>
        <w:suppressAutoHyphens/>
        <w:spacing w:after="0" w:line="252" w:lineRule="auto"/>
        <w:ind w:firstLine="709"/>
        <w:jc w:val="center"/>
        <w:rPr>
          <w:rFonts w:ascii="Times New Roman" w:eastAsia="SimSun" w:hAnsi="Times New Roman" w:cs="font260"/>
          <w:sz w:val="28"/>
          <w:szCs w:val="28"/>
          <w:lang w:eastAsia="ar-SA"/>
        </w:rPr>
      </w:pPr>
    </w:p>
    <w:p w14:paraId="4D52E53C" w14:textId="77777777" w:rsidR="000E1DF1" w:rsidRDefault="000E1DF1">
      <w:pPr>
        <w:shd w:val="clear" w:color="auto" w:fill="FFFFFF" w:themeFill="background1"/>
        <w:suppressAutoHyphens/>
        <w:spacing w:after="0" w:line="252" w:lineRule="auto"/>
        <w:ind w:firstLine="709"/>
        <w:jc w:val="center"/>
        <w:rPr>
          <w:rFonts w:ascii="Times New Roman" w:eastAsia="SimSun" w:hAnsi="Times New Roman" w:cs="font260"/>
          <w:sz w:val="28"/>
          <w:szCs w:val="28"/>
          <w:lang w:eastAsia="ar-SA"/>
        </w:rPr>
      </w:pPr>
    </w:p>
    <w:p w14:paraId="003119F3" w14:textId="77777777" w:rsidR="000E1DF1" w:rsidRDefault="000E1DF1">
      <w:pPr>
        <w:shd w:val="clear" w:color="auto" w:fill="FFFFFF" w:themeFill="background1"/>
        <w:suppressAutoHyphens/>
        <w:spacing w:after="0" w:line="252" w:lineRule="auto"/>
        <w:ind w:firstLine="709"/>
        <w:jc w:val="center"/>
        <w:rPr>
          <w:rFonts w:ascii="Times New Roman" w:eastAsia="SimSun" w:hAnsi="Times New Roman" w:cs="font260"/>
          <w:sz w:val="28"/>
          <w:szCs w:val="28"/>
          <w:lang w:eastAsia="ar-SA"/>
        </w:rPr>
      </w:pPr>
    </w:p>
    <w:p w14:paraId="76BD2902" w14:textId="77777777" w:rsidR="000E1DF1" w:rsidRDefault="000E1DF1">
      <w:pPr>
        <w:shd w:val="clear" w:color="auto" w:fill="FFFFFF" w:themeFill="background1"/>
        <w:suppressAutoHyphens/>
        <w:spacing w:after="0" w:line="252" w:lineRule="auto"/>
        <w:ind w:firstLine="709"/>
        <w:jc w:val="center"/>
        <w:rPr>
          <w:rFonts w:ascii="Times New Roman" w:eastAsia="SimSun" w:hAnsi="Times New Roman" w:cs="font260"/>
          <w:sz w:val="28"/>
          <w:szCs w:val="28"/>
          <w:lang w:eastAsia="ar-SA"/>
        </w:rPr>
      </w:pPr>
    </w:p>
    <w:p w14:paraId="51DB3899" w14:textId="77777777" w:rsidR="000E1DF1" w:rsidRDefault="000E1DF1">
      <w:pPr>
        <w:shd w:val="clear" w:color="auto" w:fill="FFFFFF" w:themeFill="background1"/>
        <w:suppressAutoHyphens/>
        <w:spacing w:after="0" w:line="252" w:lineRule="auto"/>
        <w:ind w:firstLine="709"/>
        <w:jc w:val="center"/>
        <w:rPr>
          <w:rFonts w:ascii="Times New Roman" w:eastAsia="SimSun" w:hAnsi="Times New Roman" w:cs="font260"/>
          <w:sz w:val="28"/>
          <w:szCs w:val="28"/>
          <w:lang w:eastAsia="ar-SA"/>
        </w:rPr>
      </w:pPr>
    </w:p>
    <w:p w14:paraId="62172C02" w14:textId="77777777" w:rsidR="000E1DF1" w:rsidRDefault="000E1DF1">
      <w:pPr>
        <w:shd w:val="clear" w:color="auto" w:fill="FFFFFF" w:themeFill="background1"/>
        <w:suppressAutoHyphens/>
        <w:spacing w:after="0" w:line="25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E002E2E" w14:textId="77777777" w:rsidR="000E1DF1" w:rsidRDefault="000E1DF1">
      <w:pPr>
        <w:shd w:val="clear" w:color="auto" w:fill="FFFFFF" w:themeFill="background1"/>
        <w:suppressAutoHyphens/>
        <w:spacing w:after="0" w:line="25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F8724D" w14:textId="77777777" w:rsidR="000E1DF1" w:rsidRDefault="00423114">
      <w:pPr>
        <w:shd w:val="clear" w:color="auto" w:fill="FFFFFF" w:themeFill="background1"/>
        <w:suppressAutoHyphens/>
        <w:spacing w:after="0" w:line="25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ТЕХНИЧЕСКОЕ ЗАДАНИЕ </w:t>
      </w:r>
    </w:p>
    <w:p w14:paraId="7145DAC6" w14:textId="77777777" w:rsidR="000E1DF1" w:rsidRDefault="00423114">
      <w:pPr>
        <w:shd w:val="clear" w:color="auto" w:fill="FFFFFF" w:themeFill="background1"/>
        <w:suppressAutoHyphens/>
        <w:spacing w:after="0" w:line="25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выполнение аналитической работы по теме:</w:t>
      </w:r>
    </w:p>
    <w:p w14:paraId="1FE6BFDD" w14:textId="77777777" w:rsidR="000E1DF1" w:rsidRDefault="000E1DF1">
      <w:pPr>
        <w:shd w:val="clear" w:color="auto" w:fill="FFFFFF" w:themeFill="background1"/>
        <w:suppressAutoHyphens/>
        <w:spacing w:after="0" w:line="25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25B4458" w14:textId="77777777" w:rsidR="000E1DF1" w:rsidRDefault="00423114">
      <w:pPr>
        <w:shd w:val="clear" w:color="auto" w:fill="FFFFFF" w:themeFill="background1"/>
        <w:suppressAutoHyphens/>
        <w:spacing w:after="0" w:line="252" w:lineRule="auto"/>
        <w:ind w:firstLine="709"/>
        <w:jc w:val="center"/>
        <w:rPr>
          <w:rFonts w:ascii="Times New Roman" w:eastAsia="SimSun" w:hAnsi="Times New Roman" w:cs="font260"/>
          <w:b/>
          <w:sz w:val="28"/>
          <w:szCs w:val="28"/>
          <w:lang w:eastAsia="ar-SA"/>
        </w:rPr>
      </w:pPr>
      <w:bookmarkStart w:id="0" w:name="_Hlk139866922"/>
      <w:r>
        <w:rPr>
          <w:rFonts w:ascii="Times New Roman" w:eastAsia="SimSun" w:hAnsi="Times New Roman" w:cs="font260"/>
          <w:b/>
          <w:sz w:val="28"/>
          <w:szCs w:val="28"/>
          <w:lang w:eastAsia="ar-SA"/>
        </w:rPr>
        <w:t xml:space="preserve">«Обновление сценариев и прогнозов развития ИКТ отрасли в России с учетом новых статистических данных и динамики изменения геополитической и макроэкономической ситуации, анализ потенциала цифровизации основных отраслей российской экономики и анализ экспортного потенциала отдельных продуктовых ниш» </w:t>
      </w:r>
    </w:p>
    <w:p w14:paraId="3259D39D" w14:textId="77777777" w:rsidR="000E1DF1" w:rsidRDefault="000E1DF1">
      <w:pPr>
        <w:shd w:val="clear" w:color="auto" w:fill="FFFFFF" w:themeFill="background1"/>
        <w:suppressAutoHyphens/>
        <w:spacing w:after="0" w:line="252" w:lineRule="auto"/>
        <w:ind w:firstLine="709"/>
        <w:jc w:val="center"/>
        <w:rPr>
          <w:rFonts w:ascii="Times New Roman" w:eastAsia="SimSun" w:hAnsi="Times New Roman" w:cs="font260"/>
          <w:b/>
          <w:sz w:val="28"/>
          <w:szCs w:val="28"/>
          <w:lang w:eastAsia="ar-SA"/>
        </w:rPr>
      </w:pPr>
    </w:p>
    <w:p w14:paraId="3B17FA63" w14:textId="77777777" w:rsidR="000E1DF1" w:rsidRDefault="000E1DF1">
      <w:pPr>
        <w:shd w:val="clear" w:color="auto" w:fill="FFFFFF" w:themeFill="background1"/>
        <w:suppressAutoHyphens/>
        <w:spacing w:after="0" w:line="252" w:lineRule="auto"/>
        <w:ind w:firstLine="709"/>
        <w:jc w:val="center"/>
        <w:rPr>
          <w:rFonts w:ascii="Times New Roman" w:eastAsia="SimSun" w:hAnsi="Times New Roman" w:cs="font260"/>
          <w:b/>
          <w:sz w:val="28"/>
          <w:szCs w:val="28"/>
          <w:lang w:eastAsia="ar-SA"/>
        </w:rPr>
      </w:pPr>
    </w:p>
    <w:p w14:paraId="21ED8554" w14:textId="77777777" w:rsidR="000E1DF1" w:rsidRDefault="000E1DF1">
      <w:pPr>
        <w:shd w:val="clear" w:color="auto" w:fill="FFFFFF" w:themeFill="background1"/>
        <w:suppressAutoHyphens/>
        <w:spacing w:after="0" w:line="252" w:lineRule="auto"/>
        <w:ind w:firstLine="709"/>
        <w:jc w:val="center"/>
        <w:rPr>
          <w:rFonts w:ascii="Times New Roman" w:eastAsia="SimSun" w:hAnsi="Times New Roman" w:cs="font260"/>
          <w:b/>
          <w:sz w:val="28"/>
          <w:szCs w:val="28"/>
          <w:lang w:eastAsia="ar-SA"/>
        </w:rPr>
      </w:pPr>
    </w:p>
    <w:p w14:paraId="3020A76E" w14:textId="77777777" w:rsidR="000E1DF1" w:rsidRDefault="000E1DF1">
      <w:pPr>
        <w:shd w:val="clear" w:color="auto" w:fill="FFFFFF" w:themeFill="background1"/>
        <w:suppressAutoHyphens/>
        <w:spacing w:after="0" w:line="252" w:lineRule="auto"/>
        <w:ind w:firstLine="709"/>
        <w:jc w:val="center"/>
        <w:rPr>
          <w:rFonts w:ascii="Times New Roman" w:eastAsia="SimSun" w:hAnsi="Times New Roman" w:cs="font260"/>
          <w:b/>
          <w:sz w:val="28"/>
          <w:szCs w:val="28"/>
          <w:lang w:eastAsia="ar-SA"/>
        </w:rPr>
      </w:pPr>
    </w:p>
    <w:p w14:paraId="6FC3FE79" w14:textId="77777777" w:rsidR="000E1DF1" w:rsidRDefault="000E1DF1">
      <w:pPr>
        <w:shd w:val="clear" w:color="auto" w:fill="FFFFFF" w:themeFill="background1"/>
        <w:suppressAutoHyphens/>
        <w:spacing w:after="0" w:line="252" w:lineRule="auto"/>
        <w:ind w:firstLine="709"/>
        <w:jc w:val="center"/>
        <w:rPr>
          <w:rFonts w:ascii="Times New Roman" w:eastAsia="SimSun" w:hAnsi="Times New Roman" w:cs="font260"/>
          <w:b/>
          <w:sz w:val="28"/>
          <w:szCs w:val="28"/>
          <w:lang w:eastAsia="ar-SA"/>
        </w:rPr>
      </w:pPr>
    </w:p>
    <w:p w14:paraId="4D066E27" w14:textId="77777777" w:rsidR="000E1DF1" w:rsidRDefault="000E1DF1">
      <w:pPr>
        <w:shd w:val="clear" w:color="auto" w:fill="FFFFFF" w:themeFill="background1"/>
        <w:suppressAutoHyphens/>
        <w:spacing w:after="0" w:line="252" w:lineRule="auto"/>
        <w:ind w:firstLine="709"/>
        <w:jc w:val="center"/>
        <w:rPr>
          <w:rFonts w:ascii="Times New Roman" w:eastAsia="SimSun" w:hAnsi="Times New Roman" w:cs="font260"/>
          <w:b/>
          <w:sz w:val="28"/>
          <w:szCs w:val="28"/>
          <w:lang w:eastAsia="ar-SA"/>
        </w:rPr>
      </w:pPr>
    </w:p>
    <w:p w14:paraId="0ABCB44C" w14:textId="77777777" w:rsidR="000E1DF1" w:rsidRDefault="000E1DF1">
      <w:pPr>
        <w:shd w:val="clear" w:color="auto" w:fill="FFFFFF" w:themeFill="background1"/>
        <w:suppressAutoHyphens/>
        <w:spacing w:after="0" w:line="252" w:lineRule="auto"/>
        <w:ind w:firstLine="709"/>
        <w:jc w:val="center"/>
        <w:rPr>
          <w:rFonts w:ascii="Times New Roman" w:eastAsia="SimSun" w:hAnsi="Times New Roman" w:cs="font260"/>
          <w:b/>
          <w:sz w:val="28"/>
          <w:szCs w:val="28"/>
          <w:lang w:eastAsia="ar-SA"/>
        </w:rPr>
      </w:pPr>
    </w:p>
    <w:p w14:paraId="045D9131" w14:textId="77777777" w:rsidR="000E1DF1" w:rsidRDefault="000E1DF1">
      <w:pPr>
        <w:shd w:val="clear" w:color="auto" w:fill="FFFFFF" w:themeFill="background1"/>
        <w:suppressAutoHyphens/>
        <w:spacing w:after="0" w:line="252" w:lineRule="auto"/>
        <w:ind w:firstLine="709"/>
        <w:jc w:val="center"/>
        <w:rPr>
          <w:rFonts w:ascii="Times New Roman" w:eastAsia="SimSun" w:hAnsi="Times New Roman" w:cs="font260"/>
          <w:b/>
          <w:sz w:val="28"/>
          <w:szCs w:val="28"/>
          <w:lang w:eastAsia="ar-SA"/>
        </w:rPr>
      </w:pPr>
    </w:p>
    <w:p w14:paraId="1497C684" w14:textId="77777777" w:rsidR="000E1DF1" w:rsidRDefault="000E1DF1">
      <w:pPr>
        <w:shd w:val="clear" w:color="auto" w:fill="FFFFFF" w:themeFill="background1"/>
        <w:suppressAutoHyphens/>
        <w:spacing w:after="0" w:line="252" w:lineRule="auto"/>
        <w:ind w:firstLine="709"/>
        <w:jc w:val="center"/>
        <w:rPr>
          <w:rFonts w:ascii="Times New Roman" w:eastAsia="SimSun" w:hAnsi="Times New Roman" w:cs="font260"/>
          <w:b/>
          <w:sz w:val="28"/>
          <w:szCs w:val="28"/>
          <w:lang w:eastAsia="ar-SA"/>
        </w:rPr>
      </w:pPr>
    </w:p>
    <w:p w14:paraId="1DA774E5" w14:textId="77777777" w:rsidR="000E1DF1" w:rsidRDefault="000E1DF1">
      <w:pPr>
        <w:shd w:val="clear" w:color="auto" w:fill="FFFFFF" w:themeFill="background1"/>
        <w:suppressAutoHyphens/>
        <w:spacing w:after="0" w:line="252" w:lineRule="auto"/>
        <w:ind w:firstLine="709"/>
        <w:jc w:val="center"/>
        <w:rPr>
          <w:rFonts w:ascii="Times New Roman" w:eastAsia="SimSun" w:hAnsi="Times New Roman" w:cs="font260"/>
          <w:b/>
          <w:sz w:val="28"/>
          <w:szCs w:val="28"/>
          <w:lang w:eastAsia="ar-SA"/>
        </w:rPr>
      </w:pPr>
    </w:p>
    <w:p w14:paraId="3C3C3ED9" w14:textId="77777777" w:rsidR="000E1DF1" w:rsidRDefault="000E1DF1">
      <w:pPr>
        <w:shd w:val="clear" w:color="auto" w:fill="FFFFFF" w:themeFill="background1"/>
        <w:suppressAutoHyphens/>
        <w:spacing w:after="0" w:line="252" w:lineRule="auto"/>
        <w:ind w:firstLine="709"/>
        <w:jc w:val="center"/>
        <w:rPr>
          <w:rFonts w:ascii="Times New Roman" w:eastAsia="SimSun" w:hAnsi="Times New Roman" w:cs="font260"/>
          <w:b/>
          <w:sz w:val="28"/>
          <w:szCs w:val="28"/>
          <w:lang w:eastAsia="ar-SA"/>
        </w:rPr>
      </w:pPr>
    </w:p>
    <w:p w14:paraId="6E43D383" w14:textId="77777777" w:rsidR="000E1DF1" w:rsidRDefault="000E1DF1">
      <w:pPr>
        <w:shd w:val="clear" w:color="auto" w:fill="FFFFFF" w:themeFill="background1"/>
        <w:suppressAutoHyphens/>
        <w:spacing w:after="0" w:line="252" w:lineRule="auto"/>
        <w:ind w:firstLine="709"/>
        <w:jc w:val="center"/>
        <w:rPr>
          <w:rFonts w:ascii="Times New Roman" w:eastAsia="SimSun" w:hAnsi="Times New Roman" w:cs="font260"/>
          <w:b/>
          <w:sz w:val="28"/>
          <w:szCs w:val="28"/>
          <w:lang w:eastAsia="ar-SA"/>
        </w:rPr>
      </w:pPr>
    </w:p>
    <w:p w14:paraId="3B1629C6" w14:textId="77777777" w:rsidR="000E1DF1" w:rsidRDefault="000E1DF1">
      <w:pPr>
        <w:shd w:val="clear" w:color="auto" w:fill="FFFFFF" w:themeFill="background1"/>
        <w:suppressAutoHyphens/>
        <w:spacing w:after="0" w:line="252" w:lineRule="auto"/>
        <w:ind w:firstLine="709"/>
        <w:jc w:val="center"/>
        <w:rPr>
          <w:rFonts w:ascii="Times New Roman" w:eastAsia="SimSun" w:hAnsi="Times New Roman" w:cs="font260"/>
          <w:b/>
          <w:sz w:val="28"/>
          <w:szCs w:val="28"/>
          <w:lang w:eastAsia="ar-SA"/>
        </w:rPr>
      </w:pPr>
    </w:p>
    <w:p w14:paraId="5C4D5B08" w14:textId="77777777" w:rsidR="000E1DF1" w:rsidRDefault="000E1DF1">
      <w:pPr>
        <w:shd w:val="clear" w:color="auto" w:fill="FFFFFF" w:themeFill="background1"/>
        <w:suppressAutoHyphens/>
        <w:spacing w:after="0" w:line="252" w:lineRule="auto"/>
        <w:ind w:firstLine="709"/>
        <w:jc w:val="center"/>
        <w:rPr>
          <w:rFonts w:ascii="Times New Roman" w:eastAsia="SimSun" w:hAnsi="Times New Roman" w:cs="font260"/>
          <w:b/>
          <w:sz w:val="28"/>
          <w:szCs w:val="28"/>
          <w:lang w:eastAsia="ar-SA"/>
        </w:rPr>
      </w:pPr>
    </w:p>
    <w:p w14:paraId="1EAA3466" w14:textId="77777777" w:rsidR="000E1DF1" w:rsidRDefault="000E1DF1">
      <w:pPr>
        <w:shd w:val="clear" w:color="auto" w:fill="FFFFFF" w:themeFill="background1"/>
        <w:suppressAutoHyphens/>
        <w:spacing w:after="0" w:line="252" w:lineRule="auto"/>
        <w:ind w:firstLine="709"/>
        <w:jc w:val="center"/>
        <w:rPr>
          <w:rFonts w:ascii="Times New Roman" w:eastAsia="SimSun" w:hAnsi="Times New Roman" w:cs="font260"/>
          <w:b/>
          <w:sz w:val="28"/>
          <w:szCs w:val="28"/>
          <w:lang w:eastAsia="ar-SA"/>
        </w:rPr>
      </w:pPr>
    </w:p>
    <w:p w14:paraId="02A8F584" w14:textId="77777777" w:rsidR="000E1DF1" w:rsidRDefault="000E1DF1">
      <w:pPr>
        <w:shd w:val="clear" w:color="auto" w:fill="FFFFFF" w:themeFill="background1"/>
        <w:suppressAutoHyphens/>
        <w:spacing w:after="0" w:line="252" w:lineRule="auto"/>
        <w:ind w:firstLine="709"/>
        <w:jc w:val="center"/>
        <w:rPr>
          <w:rFonts w:ascii="Times New Roman" w:eastAsia="SimSun" w:hAnsi="Times New Roman" w:cs="font260"/>
          <w:b/>
          <w:sz w:val="28"/>
          <w:szCs w:val="28"/>
          <w:lang w:eastAsia="ar-SA"/>
        </w:rPr>
        <w:sectPr w:rsidR="000E1DF1">
          <w:headerReference w:type="default" r:id="rId10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sdt>
      <w:sdtPr>
        <w:rPr>
          <w:rFonts w:ascii="Calibri" w:eastAsia="Calibri" w:hAnsi="Calibri" w:cs="Mangal"/>
          <w:color w:val="auto"/>
          <w:sz w:val="22"/>
          <w:szCs w:val="22"/>
          <w:lang w:eastAsia="en-US"/>
        </w:rPr>
        <w:id w:val="108787972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DF6EDE" w14:textId="77777777" w:rsidR="000E1DF1" w:rsidRDefault="00423114">
          <w:pPr>
            <w:pStyle w:val="TOCHeading1"/>
            <w:spacing w:before="0"/>
            <w:ind w:firstLine="709"/>
          </w:pPr>
          <w:r>
            <w:t>Содержание</w:t>
          </w:r>
        </w:p>
        <w:p w14:paraId="64AD110B" w14:textId="77777777" w:rsidR="000E1DF1" w:rsidRDefault="00423114">
          <w:pPr>
            <w:pStyle w:val="11"/>
            <w:tabs>
              <w:tab w:val="right" w:leader="dot" w:pos="9345"/>
            </w:tabs>
            <w:spacing w:after="0"/>
            <w:ind w:firstLine="709"/>
            <w:rPr>
              <w:rFonts w:ascii="Times New Roman" w:eastAsiaTheme="minorEastAsia" w:hAnsi="Times New Roman" w:cs="Times New Roman"/>
              <w:kern w:val="2"/>
              <w:sz w:val="28"/>
              <w:szCs w:val="28"/>
              <w:lang w:eastAsia="ru-R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0756236" w:history="1"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1. Глоссарий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_Toc140756236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5E73AE08" w14:textId="77777777" w:rsidR="000E1DF1" w:rsidRDefault="00EE17E8">
          <w:pPr>
            <w:pStyle w:val="11"/>
            <w:tabs>
              <w:tab w:val="right" w:leader="dot" w:pos="9345"/>
            </w:tabs>
            <w:spacing w:after="0"/>
            <w:ind w:firstLine="709"/>
            <w:rPr>
              <w:rFonts w:ascii="Times New Roman" w:eastAsiaTheme="minorEastAsia" w:hAnsi="Times New Roman" w:cs="Times New Roman"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0756237" w:history="1">
            <w:r w:rsidR="0042311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2. Введение</w:t>
            </w:r>
            <w:r w:rsidR="0042311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2311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423114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_Toc140756237 \h </w:instrText>
            </w:r>
            <w:r w:rsidR="00423114">
              <w:rPr>
                <w:rFonts w:ascii="Times New Roman" w:hAnsi="Times New Roman" w:cs="Times New Roman"/>
                <w:sz w:val="28"/>
                <w:szCs w:val="28"/>
              </w:rPr>
            </w:r>
            <w:r w:rsidR="0042311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4231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2311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16E85D59" w14:textId="77777777" w:rsidR="000E1DF1" w:rsidRDefault="00EE17E8">
          <w:pPr>
            <w:pStyle w:val="11"/>
            <w:tabs>
              <w:tab w:val="right" w:leader="dot" w:pos="9345"/>
            </w:tabs>
            <w:spacing w:after="0"/>
            <w:ind w:firstLine="709"/>
            <w:rPr>
              <w:rFonts w:ascii="Times New Roman" w:eastAsiaTheme="minorEastAsia" w:hAnsi="Times New Roman" w:cs="Times New Roman"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0756238" w:history="1">
            <w:r w:rsidR="0042311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3. Цели, задачи и результаты аналитической работы</w:t>
            </w:r>
            <w:r w:rsidR="0042311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2311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423114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_Toc140756238 \h </w:instrText>
            </w:r>
            <w:r w:rsidR="00423114">
              <w:rPr>
                <w:rFonts w:ascii="Times New Roman" w:hAnsi="Times New Roman" w:cs="Times New Roman"/>
                <w:sz w:val="28"/>
                <w:szCs w:val="28"/>
              </w:rPr>
            </w:r>
            <w:r w:rsidR="0042311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4231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2311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6B51DD25" w14:textId="77777777" w:rsidR="000E1DF1" w:rsidRDefault="00EE17E8">
          <w:pPr>
            <w:pStyle w:val="11"/>
            <w:tabs>
              <w:tab w:val="right" w:leader="dot" w:pos="9345"/>
            </w:tabs>
            <w:spacing w:after="0"/>
            <w:ind w:firstLine="709"/>
            <w:rPr>
              <w:rFonts w:ascii="Times New Roman" w:eastAsiaTheme="minorEastAsia" w:hAnsi="Times New Roman" w:cs="Times New Roman"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0756239" w:history="1">
            <w:r w:rsidR="0042311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4. Перечень выполняемых работ и требования к ним</w:t>
            </w:r>
            <w:r w:rsidR="0042311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2311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423114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_Toc140756239 \h </w:instrText>
            </w:r>
            <w:r w:rsidR="00423114">
              <w:rPr>
                <w:rFonts w:ascii="Times New Roman" w:hAnsi="Times New Roman" w:cs="Times New Roman"/>
                <w:sz w:val="28"/>
                <w:szCs w:val="28"/>
              </w:rPr>
            </w:r>
            <w:r w:rsidR="0042311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4231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2311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3E9DCF06" w14:textId="77777777" w:rsidR="000E1DF1" w:rsidRDefault="00423114">
          <w:pPr>
            <w:spacing w:after="0"/>
            <w:ind w:firstLine="709"/>
          </w:pPr>
          <w:r>
            <w:rPr>
              <w:b/>
              <w:bCs/>
            </w:rPr>
            <w:fldChar w:fldCharType="end"/>
          </w:r>
        </w:p>
      </w:sdtContent>
    </w:sdt>
    <w:p w14:paraId="471BF950" w14:textId="77777777" w:rsidR="000E1DF1" w:rsidRDefault="00423114">
      <w:pPr>
        <w:spacing w:after="0" w:line="240" w:lineRule="auto"/>
        <w:ind w:firstLine="709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bookmarkStart w:id="1" w:name="_Toc140756236"/>
      <w:bookmarkEnd w:id="0"/>
      <w:r>
        <w:br w:type="page"/>
      </w:r>
    </w:p>
    <w:p w14:paraId="17384DA1" w14:textId="77777777" w:rsidR="000E1DF1" w:rsidRDefault="00423114">
      <w:pPr>
        <w:pStyle w:val="1"/>
        <w:numPr>
          <w:ilvl w:val="0"/>
          <w:numId w:val="2"/>
        </w:numPr>
        <w:tabs>
          <w:tab w:val="left" w:pos="993"/>
        </w:tabs>
        <w:spacing w:before="0"/>
        <w:ind w:left="0" w:firstLine="709"/>
        <w:rPr>
          <w:b/>
          <w:bCs/>
        </w:rPr>
      </w:pPr>
      <w:r>
        <w:rPr>
          <w:b/>
          <w:bCs/>
        </w:rPr>
        <w:lastRenderedPageBreak/>
        <w:t>Глоссарий</w:t>
      </w:r>
      <w:bookmarkEnd w:id="1"/>
    </w:p>
    <w:p w14:paraId="6606CB9D" w14:textId="77777777" w:rsidR="000E1DF1" w:rsidRDefault="0042311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Новые коммуникационные интернет-технологии (НКИТ) – технологическое направление, объединяющее в себе технологии, продукты и сервисы на их основе, обеспечивающие массовые персональные коммуникации людей в цифровом пространстве с использованием сети интернет. К базовым новым коммуникационным интернет-технологиям в настоящий момент можно отнести коммуникационные и досуговые сервисы. К вспомогательным технологиям, решениям и сервисам НКИТ относятся решения, обеспечивающие увеличение охвата аудитории за счет предложения нового качества пользования коммуникационными сервисами. Полный перечень и задачи развития НКИТ согласовываются с Министерством цифрового развития, связи и массовых коммуникаций Российской Федерации и утверждаются в Порядке конкурсного отбора при определении приоритетных направлений нефинансовой поддержки проектов технологических компаний для осуществления акселерации в рамках федерального проекта.</w:t>
      </w:r>
    </w:p>
    <w:p w14:paraId="2DBE33BB" w14:textId="77777777" w:rsidR="000E1DF1" w:rsidRDefault="0042311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Продуктовая ниша НКИТ и НОПО – узкий сегмент рынка продуктов на основе новых коммуникационных интернет-технологий, и общесистемного программного обеспечения объединяющий в себе близкие по функциональному назначению и потребительским свойствам продукты. </w:t>
      </w:r>
    </w:p>
    <w:p w14:paraId="74D363C6" w14:textId="77777777" w:rsidR="000E1DF1" w:rsidRDefault="0042311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Экспортный потенциал продуктовой ниши - качественная или количественная оценка теоретически максимально возможного объема экспорта товаров и услуг на в отдельной продуктовой нише (или группе ниш) достижимого российскими компаниями на определенном внешнем рынке.    </w:t>
      </w:r>
    </w:p>
    <w:p w14:paraId="6CA790C6" w14:textId="77777777" w:rsidR="000E1DF1" w:rsidRDefault="0042311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Методика определения экспортного потенциала перспективных продуктовых ниш НКИТ и НОПО – документ, описывающий основные понятия, источники данных, порядок их сбора и обработки, и способы их интерпретации для определения экспортного потенциала продуктовых ниш НКИТ и НОПО на перспективных зарубежных рынках и количественные оценки соответствующего экспортного потенциала.</w:t>
      </w:r>
    </w:p>
    <w:p w14:paraId="7369E0DB" w14:textId="77777777" w:rsidR="000E1DF1" w:rsidRDefault="0042311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определения экспортного потенциала перспективных продуктовых ниш разрабатывается с учетом доступности необходимых данных</w:t>
      </w:r>
    </w:p>
    <w:p w14:paraId="3FE4252C" w14:textId="77777777" w:rsidR="000E1DF1" w:rsidRDefault="0042311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Акселерационная программа (акселератор) – комплекс мер нефинансового характера, предназначенных для поддержки российских технологических компаний при реализации проектов по разработке, коммерциализации, внедрению российских решений в сфере информационных технологий, включающих анализ таких проектов, наставничество, консультирование в процессе реализации проектов в целях </w:t>
      </w:r>
      <w:r>
        <w:rPr>
          <w:rFonts w:ascii="Times New Roman" w:hAnsi="Times New Roman" w:cs="Times New Roman"/>
          <w:sz w:val="28"/>
          <w:szCs w:val="28"/>
        </w:rPr>
        <w:lastRenderedPageBreak/>
        <w:t>их успешной реализации за счет нивелирования предпринимательских рисков, развития профессиональных компетенций сотрудников, а также повышения инвестиционной привлекательности проектов.</w:t>
      </w:r>
    </w:p>
    <w:p w14:paraId="2E72ED51" w14:textId="77777777" w:rsidR="000E1DF1" w:rsidRDefault="0042311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Акселерационная программа Спринт – акселерационная программа, реализуемая ФРИИ в соответствии с федеральным проектом «Цифровые технологии» национальной программы «Цифровая экономика Российской Федерации» и направленная на поддержку технологических компаний ранних стадий. </w:t>
      </w:r>
    </w:p>
    <w:p w14:paraId="0A06F839" w14:textId="77777777" w:rsidR="000E1DF1" w:rsidRDefault="0042311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Акселерационная программа «Драйвер» – акселерационна программа, реализуемая ФРИИ в соответствии с федеральным проектом «Цифровые технологии» национальной программы «Цифровая экономика Российской Федерации» и направленная на поддержку технологических компаний, реализующих проекты по созданию импортозамещающего ПО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направлениях  НОПО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486D543C" w14:textId="77777777" w:rsidR="000E1DF1" w:rsidRDefault="000E1DF1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455E1C" w14:textId="77777777" w:rsidR="000E1DF1" w:rsidRDefault="0042311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 Участники акселерационной программы 2023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-  технологические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компании, отобранные в соответствии с процедурой конкурсного отбора для участия в Акселераторе Спринт и приглашенные прохождению акселерационной программы в течение 2023 года. </w:t>
      </w:r>
    </w:p>
    <w:p w14:paraId="7138299E" w14:textId="77777777" w:rsidR="000E1DF1" w:rsidRDefault="0042311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>
        <w:rPr>
          <w:rFonts w:ascii="Times New Roman" w:hAnsi="Times New Roman" w:cs="Times New Roman"/>
          <w:sz w:val="28"/>
          <w:szCs w:val="28"/>
        </w:rPr>
        <w:tab/>
        <w:t>Новое общесистемное программное обеспечение (НОПО) - совокупность общесистемного и прикладного программного обеспечения, обеспечивающих «фундамент» для прикладных решений и занимающих образовавшиеся в связи с уходом западных вендоров ниши, в том числе общесистемное и прикладное программное обеспечение, а также НКИТ.</w:t>
      </w:r>
    </w:p>
    <w:p w14:paraId="12A17D40" w14:textId="77777777" w:rsidR="000E1DF1" w:rsidRDefault="0042311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Потенциал цифровизации отрасли российской экономики - качественная характеристика перспективного спроса на товары и услуги сектора ИКТ за счет цифровизации бизнес процессов в предприятиях отрасли, и обеспечивающих ее сервисах.</w:t>
      </w:r>
    </w:p>
    <w:p w14:paraId="584EB4A0" w14:textId="77777777" w:rsidR="000E1DF1" w:rsidRDefault="00423114">
      <w:pPr>
        <w:pStyle w:val="1"/>
        <w:spacing w:before="0"/>
        <w:ind w:firstLine="709"/>
        <w:rPr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2" w:name="_Toc140756237"/>
      <w:r>
        <w:rPr>
          <w:b/>
          <w:bCs/>
        </w:rPr>
        <w:lastRenderedPageBreak/>
        <w:t>2. Введение</w:t>
      </w:r>
      <w:bookmarkEnd w:id="2"/>
    </w:p>
    <w:p w14:paraId="5E7436B0" w14:textId="77777777" w:rsidR="000E1DF1" w:rsidRDefault="0042311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началу 2024 года российская экономика в целом и ИТ отрасль в значительной степени адаптировались к работе в условиях санкционных ограничений, изменению доступных рынков сбыта и источников капитала для инвестирования в перспективные технологические компании. Стабилизовались процессы на рынке труда, начались процессы реального импортозамещения общесистемного и специализированного ПО, в полной мере вступили в силу меры государственной поддержки ИТ компаний. </w:t>
      </w:r>
    </w:p>
    <w:p w14:paraId="2B62F29A" w14:textId="77777777" w:rsidR="000E1DF1" w:rsidRDefault="0042311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это требует уточнения количественных характеристик сценарных прогнозов развития ИТ отрасли на средне- и долгосрочную перспективы. </w:t>
      </w:r>
    </w:p>
    <w:p w14:paraId="0E01D0AB" w14:textId="77777777" w:rsidR="000E1DF1" w:rsidRDefault="0042311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Указом Президента от 07 мая 2024 г. №309 национальных целей развития Российской Федерации на период до 2030 года и на перспективу до 2036 года, включающих достижение технологического лидерства и цифровую трансформацию государственного и муниципального управления, экономики и социальной сферы, требует внесения корректировок в характеристики целевого сценария развития ИКТ сектора и связанных с ним рынков. </w:t>
      </w:r>
    </w:p>
    <w:p w14:paraId="76AEF7F9" w14:textId="77777777" w:rsidR="000E1DF1" w:rsidRDefault="0042311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ситуации представляется актуальным для формирования стратегий деятельности как отдельных ИТ компаний, так и институтов развития, обеспечивающих поддержку ИКТ отрасли и реализацию НП «Цифровые технологии» (включая НОПО и НКИТ) провести обновление системы качественных и количественных характеристик сценариев развития ИКТ сектора на периоды до 2030  и 2036 годов.</w:t>
      </w:r>
    </w:p>
    <w:p w14:paraId="316C1314" w14:textId="77777777" w:rsidR="000E1DF1" w:rsidRDefault="0042311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разработанных сценариев предполагается возможным оценить новые как внутренние, так и доступные внешние рынки, формирующиеся в процессе цифровой трансформации отраслей экономики и реализации накопленного в ходе импортозамещения технологического потенциала НОПО.</w:t>
      </w:r>
    </w:p>
    <w:p w14:paraId="1A24B76A" w14:textId="77777777" w:rsidR="000E1DF1" w:rsidRDefault="0042311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аналитической работы будут использованы ФРИИ для разработки рекомендаций непосредственно для технологических компаний-участников акселерационной программы и для подготовки информационно-методических материалов для выпускников акселерационных программ «Спринт» и «Драйвер».</w:t>
      </w:r>
    </w:p>
    <w:p w14:paraId="0D9D2C7C" w14:textId="77777777" w:rsidR="000E1DF1" w:rsidRDefault="0042311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Цели, задачи и ожидаемые результаты аналитической работы сформулированы в соответствии с темами, содержанием и составом исследовательских работ в рамках деятельности Фонда по направлению «Информационно-методическое и экспертное сопровождение» на 2024 год, согласованными письмом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29 мая 2024 г. №СК-П11-266242 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именно работами 1.1 и 1.2 в рамках Темы 1, и работами 3.2 и 3.3 рамках Темы 3. </w:t>
      </w:r>
    </w:p>
    <w:p w14:paraId="61C055C1" w14:textId="77777777" w:rsidR="000E1DF1" w:rsidRDefault="000E1DF1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AA6BC9C" w14:textId="77777777" w:rsidR="000E1DF1" w:rsidRDefault="00423114">
      <w:pPr>
        <w:pStyle w:val="1"/>
        <w:spacing w:before="0"/>
        <w:ind w:firstLine="709"/>
        <w:rPr>
          <w:b/>
          <w:bCs/>
        </w:rPr>
      </w:pPr>
      <w:bookmarkStart w:id="3" w:name="_Toc140756238"/>
      <w:r>
        <w:rPr>
          <w:b/>
          <w:bCs/>
        </w:rPr>
        <w:t>3. Цели, задачи и результаты аналитической работы</w:t>
      </w:r>
      <w:bookmarkEnd w:id="3"/>
    </w:p>
    <w:p w14:paraId="599E6AF0" w14:textId="77777777" w:rsidR="000E1DF1" w:rsidRDefault="0042311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работы: повышение устойчивости и жизнеспособности технологических компаний, прошедших акселерационную программу, за счет обеспечения участников акселерационной программы актуальной и достоверной информацией о развитии ИТ рынков,  в том числе доступных международных рынков и адаптации участников отрасли к работе в условиях санкционных ограничений с учетом результатов актуализации перспективных условий и возможных сценариев развития отрасли информационно-коммуникационных технологий на национальном уровне в долгосрочной перспективе. </w:t>
      </w:r>
    </w:p>
    <w:p w14:paraId="2D7950DB" w14:textId="77777777" w:rsidR="000E1DF1" w:rsidRDefault="0042311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данной цели предполагает решение </w:t>
      </w:r>
      <w:r>
        <w:rPr>
          <w:rFonts w:ascii="Times New Roman" w:hAnsi="Times New Roman" w:cs="Times New Roman"/>
          <w:i/>
          <w:sz w:val="28"/>
          <w:szCs w:val="28"/>
        </w:rPr>
        <w:t>следующих 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21FA8F8" w14:textId="77777777" w:rsidR="000E1DF1" w:rsidRDefault="00423114">
      <w:pPr>
        <w:pStyle w:val="af0"/>
        <w:shd w:val="clear" w:color="auto" w:fill="FFFFFF" w:themeFill="background1"/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1.</w:t>
      </w:r>
      <w:r>
        <w:rPr>
          <w:rFonts w:ascii="Times New Roman" w:hAnsi="Times New Roman" w:cs="Times New Roman"/>
          <w:sz w:val="28"/>
          <w:szCs w:val="28"/>
        </w:rPr>
        <w:t xml:space="preserve"> Обновление качественных сценариев и количественных прогнозов развития ИКТ отрасли в России на горизонте до 2036 г. с учетом новых статистических данных, динамики изменения геополитической и макроэкономической ситуации и национальных целей развития. </w:t>
      </w:r>
    </w:p>
    <w:p w14:paraId="33A1E98B" w14:textId="77777777" w:rsidR="000E1DF1" w:rsidRDefault="00423114">
      <w:pPr>
        <w:pStyle w:val="af0"/>
        <w:shd w:val="clear" w:color="auto" w:fill="FFFFFF" w:themeFill="background1"/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Задача 2</w:t>
      </w:r>
      <w:r>
        <w:rPr>
          <w:rFonts w:ascii="Times New Roman" w:hAnsi="Times New Roman" w:cs="Times New Roman"/>
          <w:sz w:val="28"/>
          <w:szCs w:val="28"/>
        </w:rPr>
        <w:t>. Анализ потенциала цифровизации основных отраслей экономики с учетом текущих условий и сценариев развития ИКТ отрасли.</w:t>
      </w:r>
    </w:p>
    <w:p w14:paraId="65893CDB" w14:textId="77777777" w:rsidR="000E1DF1" w:rsidRDefault="00423114">
      <w:pPr>
        <w:pStyle w:val="af0"/>
        <w:shd w:val="clear" w:color="auto" w:fill="FFFFFF" w:themeFill="background1"/>
        <w:spacing w:after="0" w:line="259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3. </w:t>
      </w:r>
      <w:r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экспортного потенциала отдельных перспективных продуктовых ниш российского ПО (том числе НОПО и НКИТ) на доступных экспортных рынках.</w:t>
      </w:r>
    </w:p>
    <w:p w14:paraId="5CF082B6" w14:textId="77777777" w:rsidR="000E1DF1" w:rsidRDefault="000E1DF1">
      <w:pPr>
        <w:pStyle w:val="af0"/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D36234" w14:textId="77777777" w:rsidR="000E1DF1" w:rsidRDefault="0042311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 работы</w:t>
      </w:r>
    </w:p>
    <w:p w14:paraId="756B0F72" w14:textId="77777777" w:rsidR="000E1DF1" w:rsidRDefault="0042311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работы Исполнителем должен быть подготовлен и представлен Заказчику Отчет </w:t>
      </w:r>
      <w:r>
        <w:rPr>
          <w:rFonts w:ascii="Times New Roman" w:hAnsi="Times New Roman"/>
          <w:sz w:val="28"/>
          <w:szCs w:val="28"/>
        </w:rPr>
        <w:t>об аналитической работе</w:t>
      </w:r>
      <w:r>
        <w:rPr>
          <w:rFonts w:ascii="Times New Roman" w:hAnsi="Times New Roman" w:cs="Times New Roman"/>
          <w:sz w:val="28"/>
          <w:szCs w:val="28"/>
        </w:rPr>
        <w:t>, содержащий:</w:t>
      </w:r>
    </w:p>
    <w:p w14:paraId="273C8F36" w14:textId="77777777" w:rsidR="000E1DF1" w:rsidRDefault="00423114">
      <w:pPr>
        <w:pStyle w:val="a"/>
        <w:shd w:val="clear" w:color="auto" w:fill="FFFFFF" w:themeFill="background1"/>
        <w:tabs>
          <w:tab w:val="left" w:pos="1134"/>
        </w:tabs>
        <w:spacing w:after="0"/>
        <w:ind w:left="0" w:firstLine="709"/>
      </w:pPr>
      <w:r>
        <w:t>Обновленное описание и получение количественных оценок по основным сценариям развития ИКТ отрасли (включая НКИТ) в условиях санкционных ограничений на перспективу до 2036 г.</w:t>
      </w:r>
    </w:p>
    <w:p w14:paraId="594EDBC3" w14:textId="77777777" w:rsidR="000E1DF1" w:rsidRDefault="00423114">
      <w:pPr>
        <w:pStyle w:val="a"/>
        <w:shd w:val="clear" w:color="auto" w:fill="FFFFFF" w:themeFill="background1"/>
        <w:tabs>
          <w:tab w:val="left" w:pos="1134"/>
        </w:tabs>
        <w:spacing w:after="0"/>
        <w:ind w:left="0" w:firstLine="709"/>
      </w:pPr>
      <w:r>
        <w:t>Оценки потенциала цифровизации основных отраслей российской экономики с учетом текущих условий и разработанных сценариев, и оценки перспективного спроса на продукты сектора ИКТ в основных отраслях на горизонте 3 и 6 лет.</w:t>
      </w:r>
    </w:p>
    <w:p w14:paraId="4151BD2E" w14:textId="77777777" w:rsidR="000E1DF1" w:rsidRDefault="00423114">
      <w:pPr>
        <w:pStyle w:val="a"/>
        <w:shd w:val="clear" w:color="auto" w:fill="FFFFFF" w:themeFill="background1"/>
        <w:tabs>
          <w:tab w:val="left" w:pos="1134"/>
        </w:tabs>
        <w:spacing w:after="0"/>
        <w:ind w:left="0" w:firstLine="709"/>
      </w:pPr>
      <w:r>
        <w:t>Оценки экспортного потенциала отдельных продуктовых ниш НОПО на доступных международных рынках.</w:t>
      </w:r>
    </w:p>
    <w:p w14:paraId="77D3526B" w14:textId="77777777" w:rsidR="000E1DF1" w:rsidRDefault="000E1DF1">
      <w:pPr>
        <w:pStyle w:val="a"/>
        <w:numPr>
          <w:ilvl w:val="0"/>
          <w:numId w:val="0"/>
        </w:numPr>
        <w:shd w:val="clear" w:color="auto" w:fill="FFFFFF" w:themeFill="background1"/>
        <w:tabs>
          <w:tab w:val="left" w:pos="1134"/>
        </w:tabs>
        <w:spacing w:after="0"/>
      </w:pPr>
    </w:p>
    <w:p w14:paraId="010DC25E" w14:textId="77777777" w:rsidR="000E1DF1" w:rsidRDefault="000E1DF1">
      <w:pPr>
        <w:pStyle w:val="a"/>
        <w:numPr>
          <w:ilvl w:val="0"/>
          <w:numId w:val="0"/>
        </w:numPr>
        <w:shd w:val="clear" w:color="auto" w:fill="FFFFFF" w:themeFill="background1"/>
        <w:tabs>
          <w:tab w:val="left" w:pos="1134"/>
        </w:tabs>
        <w:spacing w:after="0"/>
      </w:pPr>
    </w:p>
    <w:p w14:paraId="07E64E6B" w14:textId="77777777" w:rsidR="000E1DF1" w:rsidRDefault="00423114">
      <w:pPr>
        <w:pStyle w:val="1"/>
        <w:spacing w:before="0"/>
        <w:ind w:firstLine="709"/>
        <w:rPr>
          <w:b/>
          <w:bCs/>
        </w:rPr>
      </w:pPr>
      <w:bookmarkStart w:id="4" w:name="_Toc140756239"/>
      <w:r>
        <w:rPr>
          <w:b/>
          <w:bCs/>
        </w:rPr>
        <w:lastRenderedPageBreak/>
        <w:t>4. Перечень выполняемых работ и требования к ним</w:t>
      </w:r>
      <w:bookmarkStart w:id="5" w:name="_Hlk110613028"/>
      <w:bookmarkEnd w:id="4"/>
    </w:p>
    <w:p w14:paraId="295B102D" w14:textId="77777777" w:rsidR="000E1DF1" w:rsidRDefault="00423114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i w:val="0"/>
        </w:rPr>
      </w:pPr>
      <w:bookmarkStart w:id="6" w:name="_Hlk110613089"/>
      <w:r>
        <w:rPr>
          <w:rFonts w:ascii="Times New Roman" w:hAnsi="Times New Roman" w:cs="Times New Roman"/>
          <w:i w:val="0"/>
        </w:rPr>
        <w:t>4.1. Обновление сценариев и прогнозов развития ИКТ отрасли в России с учетом новых статистических данных и динамики изменения геополитической и макроэкономической ситуации.</w:t>
      </w:r>
    </w:p>
    <w:p w14:paraId="25886142" w14:textId="77777777" w:rsidR="000E1DF1" w:rsidRDefault="00423114">
      <w:pPr>
        <w:pStyle w:val="a"/>
        <w:numPr>
          <w:ilvl w:val="0"/>
          <w:numId w:val="0"/>
        </w:numPr>
        <w:shd w:val="clear" w:color="auto" w:fill="FFFFFF" w:themeFill="background1"/>
        <w:spacing w:after="0" w:line="240" w:lineRule="auto"/>
        <w:ind w:firstLine="709"/>
      </w:pPr>
      <w:r>
        <w:rPr>
          <w:rFonts w:eastAsia="Times New Roman"/>
        </w:rPr>
        <w:t>Должны быть обновлены макроэкономические сценарии и проведен расчет прогнозов развития ИКТ отрасли на основе экономико-статистической модели.</w:t>
      </w:r>
    </w:p>
    <w:p w14:paraId="7C07E712" w14:textId="77777777" w:rsidR="000E1DF1" w:rsidRDefault="004231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Обновление системы качественных сценариев развития экосистемы ИКТ (на периоды до 2030 и 2036 г.) должно проводиться с учётом неопределённости, связанной как с глобальными процессами, связанными с развитием мировой экономики и технологий ИКТ, так и с новыми факторами неопределённости, связанными с расширением системы санкций против России.</w:t>
      </w:r>
    </w:p>
    <w:p w14:paraId="563887AD" w14:textId="77777777" w:rsidR="000E1DF1" w:rsidRDefault="004231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обновлении сценариев должны учитываться актуальные статистические данные, опубликованные в 2023 и 2024 годах, а также качественные и количественные характеристики национальных целей развития Российской федерации отраженные в Указе Президента Российской Федерации от 07 мая 2024 г. № 309 “О национальных целях развития Российской Федерации на период до 2030 года и на перспективу до 2036 года”</w:t>
      </w:r>
    </w:p>
    <w:p w14:paraId="51B9C9E5" w14:textId="77777777" w:rsidR="000E1DF1" w:rsidRDefault="000E1D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832C0F" w14:textId="77777777" w:rsidR="000E1DF1" w:rsidRDefault="004231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быть рассчитаны параметры негативного, инерционного и целевого сценариев. Для инерционного и целевого сценариев необходимо отразить максимальное использование и воспроизводство потенциала, включая выход на рынки дружественных и нейтральных стран.</w:t>
      </w:r>
    </w:p>
    <w:p w14:paraId="463E1B6F" w14:textId="77777777" w:rsidR="000E1DF1" w:rsidRDefault="000E1D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AF3EF3" w14:textId="77777777" w:rsidR="000E1DF1" w:rsidRDefault="004231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количественном расчете средне- (до 2030 г.) и долгосрочных (до 2036 г.) сценарных прогнозов развития отрасли информационно-коммуникационных технологий, получении соответствующих количественных оценок, включая оценки развития экосистемы ИКТ, должны быть учтены последние доступные статистические данные, а также значения экзогенно-задаваемых параметров в соответствии с возможными вариантами развития российских и мировых рынков, а также расширения системы санкций и постепенной адаптацией российской экономики к ним.</w:t>
      </w:r>
    </w:p>
    <w:p w14:paraId="790ED102" w14:textId="77777777" w:rsidR="000E1DF1" w:rsidRDefault="004231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Рекомендуемые источники информации:</w:t>
      </w:r>
    </w:p>
    <w:p w14:paraId="487526AC" w14:textId="77777777" w:rsidR="000E1DF1" w:rsidRDefault="004231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Росстата, демографический прогноз Росстата, материалы Банка России, сборники НИУ ВШЭ, материалы Международного союза электросвязи ООН, Отчет Федерального казначейства об исполнении консолидированного бюджета РФ и бюджетов государственных внебюджетных фондов, аналитические сборники Российской ассоциации венчурного инвестирования, годовой отчет Фонда развития интернет-инициатив, годовые отчеты институтов развития и иные аналитические материалы и базы данных.</w:t>
      </w:r>
    </w:p>
    <w:p w14:paraId="51597285" w14:textId="77777777" w:rsidR="000E1DF1" w:rsidRDefault="000E1D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8B3094" w14:textId="77777777" w:rsidR="000E1DF1" w:rsidRDefault="00423114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lastRenderedPageBreak/>
        <w:t>4.2. Анализ потенциала цифровизации основных отраслей российской экономики с учетом текущих условий и разработанных сценариев и количественная оценка перспективного спроса на товары и услуги сектора ИКТ в основных отраслях в горизонте 3 и 6 лет.</w:t>
      </w:r>
    </w:p>
    <w:p w14:paraId="49D39CEB" w14:textId="77777777" w:rsidR="000E1DF1" w:rsidRDefault="004231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работы должны быть проанализированы доступные данные о темпах цифровизации и цифровой трансформации основных отраслей, и параметры, заложенные в Стратегии цифровой трансформации основных отраслей экономики (для тех отраслей, по которым разработаны и утверждены соответствующие стратегии) и национальные цели развития Российской Федерации </w:t>
      </w:r>
    </w:p>
    <w:p w14:paraId="5637C6A6" w14:textId="77777777" w:rsidR="000E1DF1" w:rsidRDefault="004231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количественной оценке спроса на товары и услуги ИКТ сектора, должны учитываться разработанные в п. 4.1 макроэкономические условия и сценарии развития ИКТ сектора.</w:t>
      </w:r>
    </w:p>
    <w:p w14:paraId="34CCC1FF" w14:textId="77777777" w:rsidR="000E1DF1" w:rsidRDefault="000E1D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3B187F" w14:textId="77777777" w:rsidR="000E1DF1" w:rsidRDefault="000E1D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279734" w14:textId="77777777" w:rsidR="000E1DF1" w:rsidRDefault="00423114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4.3. </w:t>
      </w:r>
      <w:bookmarkStart w:id="7" w:name="_Hlk129266664"/>
      <w:r>
        <w:rPr>
          <w:rFonts w:ascii="Times New Roman" w:hAnsi="Times New Roman" w:cs="Times New Roman"/>
          <w:i w:val="0"/>
        </w:rPr>
        <w:t>Анализ экспортного потенциала отдельных продуктовых ниш НОПО.</w:t>
      </w:r>
    </w:p>
    <w:bookmarkEnd w:id="7"/>
    <w:p w14:paraId="05E08248" w14:textId="77777777" w:rsidR="000E1DF1" w:rsidRDefault="004231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должна выполняться на основе Методики определения экспортного потенциала перспективных продуктовых ниш НКИТ (далее - Методика), разработанной ЦМАКП по заказу ФРИИ в 2023 году (договор № КСУ/3-6-23 от 10.08.23).</w:t>
      </w:r>
    </w:p>
    <w:p w14:paraId="10F2B636" w14:textId="77777777" w:rsidR="000E1DF1" w:rsidRDefault="004231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может быть скорректирована и уточнена, для оценки экспортного потенциала продуктовых ниш НОПО.</w:t>
      </w:r>
    </w:p>
    <w:p w14:paraId="4A44F5FB" w14:textId="77777777" w:rsidR="000E1DF1" w:rsidRDefault="00423114">
      <w:pPr>
        <w:pStyle w:val="af0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предоставленного Заказчиком списка перспективных продуктовых ниш НОПО, содержащего от трех до пяти продуктовых ниш, должны быть проведены следующие работы:</w:t>
      </w:r>
    </w:p>
    <w:p w14:paraId="529D7925" w14:textId="77777777" w:rsidR="000E1DF1" w:rsidRDefault="000E1DF1">
      <w:pPr>
        <w:pStyle w:val="af0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3D6DE8" w14:textId="77777777" w:rsidR="000E1DF1" w:rsidRDefault="00423114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 Определение списка перспективных зарубежных рынков для оценки потенциала выбранных продуктовых ниш.</w:t>
      </w:r>
    </w:p>
    <w:p w14:paraId="15AE6BF3" w14:textId="77777777" w:rsidR="000E1DF1" w:rsidRDefault="004231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зарубежных рынков для последующего анализа должен проводиться на основе разработанной в 2023 году Методики.</w:t>
      </w:r>
    </w:p>
    <w:p w14:paraId="5F6FF6C2" w14:textId="77777777" w:rsidR="000E1DF1" w:rsidRDefault="004231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частности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 отборе рынков должны учитываться текущие геополитические реалии, характер отношений выбранных стран и Российской Федерации и социально-экономические характеристики и особенности технологического развития в ИТ сфере рассматриваемых иностранных государств.</w:t>
      </w:r>
    </w:p>
    <w:p w14:paraId="655A5421" w14:textId="77777777" w:rsidR="000E1DF1" w:rsidRDefault="004231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быть отобраны для анализа не менее двух зарубежных рынков.</w:t>
      </w:r>
    </w:p>
    <w:p w14:paraId="555A6628" w14:textId="77777777" w:rsidR="000E1DF1" w:rsidRDefault="000E1D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0DE327" w14:textId="77777777" w:rsidR="000E1DF1" w:rsidRDefault="00423114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 Расчет экспортного потенциала перспективных продуктовых ниш НОПО в разрезе перспективных зарубежных рынков.</w:t>
      </w:r>
    </w:p>
    <w:p w14:paraId="17D001BF" w14:textId="77777777" w:rsidR="000E1DF1" w:rsidRDefault="004231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быть проведен расчет и сравнительный анализ экспортного потенциала отобранных перспективных ниш, даны оценки целесообразности вывода продукции российских технологических компаний на данные рынки. </w:t>
      </w:r>
    </w:p>
    <w:bookmarkEnd w:id="5"/>
    <w:bookmarkEnd w:id="6"/>
    <w:p w14:paraId="21DFC72B" w14:textId="77777777" w:rsidR="000E1DF1" w:rsidRDefault="00423114">
      <w:pPr>
        <w:pStyle w:val="1"/>
        <w:spacing w:before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Требования к разрабатываемой документации</w:t>
      </w:r>
    </w:p>
    <w:p w14:paraId="20E87ABD" w14:textId="77777777" w:rsidR="000E1DF1" w:rsidRDefault="00423114">
      <w:pPr>
        <w:pStyle w:val="2"/>
        <w:spacing w:before="0" w:after="0"/>
        <w:ind w:firstLine="709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5.1 Требования к отчету исследовательской работы.</w:t>
      </w:r>
    </w:p>
    <w:p w14:paraId="11B96E65" w14:textId="77777777" w:rsidR="000E1DF1" w:rsidRDefault="004231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оформлению отчета:</w:t>
      </w:r>
    </w:p>
    <w:p w14:paraId="11CCC1FB" w14:textId="77777777" w:rsidR="000E1DF1" w:rsidRDefault="004231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Структурными элементами отчета исследовательской работы (далее – Отчет) должны являться:</w:t>
      </w:r>
    </w:p>
    <w:p w14:paraId="773A70E1" w14:textId="77777777" w:rsidR="000E1DF1" w:rsidRDefault="004231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титульный лист;</w:t>
      </w:r>
    </w:p>
    <w:p w14:paraId="18095882" w14:textId="77777777" w:rsidR="000E1DF1" w:rsidRDefault="004231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список исполнителей;</w:t>
      </w:r>
    </w:p>
    <w:p w14:paraId="399534F0" w14:textId="77777777" w:rsidR="000E1DF1" w:rsidRDefault="004231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реферат;</w:t>
      </w:r>
    </w:p>
    <w:p w14:paraId="2C1CC07E" w14:textId="77777777" w:rsidR="000E1DF1" w:rsidRDefault="004231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содержание;</w:t>
      </w:r>
    </w:p>
    <w:p w14:paraId="66116B6D" w14:textId="77777777" w:rsidR="000E1DF1" w:rsidRDefault="004231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термины и определения;</w:t>
      </w:r>
    </w:p>
    <w:p w14:paraId="455323A4" w14:textId="77777777" w:rsidR="000E1DF1" w:rsidRDefault="004231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сокращений и обозначений;</w:t>
      </w:r>
    </w:p>
    <w:p w14:paraId="218B2BC3" w14:textId="77777777" w:rsidR="000E1DF1" w:rsidRDefault="004231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введение;</w:t>
      </w:r>
    </w:p>
    <w:p w14:paraId="731AA1DE" w14:textId="77777777" w:rsidR="000E1DF1" w:rsidRDefault="004231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основная часть исследовательской работы;</w:t>
      </w:r>
    </w:p>
    <w:p w14:paraId="5FC0AD2B" w14:textId="77777777" w:rsidR="000E1DF1" w:rsidRDefault="004231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заключение;</w:t>
      </w:r>
    </w:p>
    <w:p w14:paraId="7DC03DA2" w14:textId="77777777" w:rsidR="000E1DF1" w:rsidRDefault="004231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список использованных источников;</w:t>
      </w:r>
    </w:p>
    <w:p w14:paraId="53096916" w14:textId="77777777" w:rsidR="000E1DF1" w:rsidRDefault="004231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приложения (при необходимости).</w:t>
      </w:r>
    </w:p>
    <w:p w14:paraId="2B1146F0" w14:textId="77777777" w:rsidR="000E1DF1" w:rsidRDefault="004231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Оглавление должно включать наименование всех разделов, подразделов, пунктов (если они имеют наименование) и наименование приложений с указанием номеров страниц, с которых начинаются соответствующие элементы Отчета.</w:t>
      </w:r>
    </w:p>
    <w:p w14:paraId="50DB25C6" w14:textId="77777777" w:rsidR="000E1DF1" w:rsidRDefault="004231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составлении Отчета, состоящего из двух и более частей, оглавление должно быть включено в каждую часть Отчета. При этом в первой части Отчета должно быть помещено оглавление всего Отчета с указанием номеров частей, в последующих – только оглавление соответствующей части. Допускается в первой части Отчета вместо оглавления последующих частей указывать только их наименование (номер).</w:t>
      </w:r>
    </w:p>
    <w:p w14:paraId="02450CCD" w14:textId="77777777" w:rsidR="000E1DF1" w:rsidRDefault="004231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Структурный элемент Отчета «Обозначения и сокращения» должен содержать перечень обозначений и сокращений, применяемых в Отчете.</w:t>
      </w:r>
    </w:p>
    <w:p w14:paraId="2E08CF38" w14:textId="77777777" w:rsidR="000E1DF1" w:rsidRDefault="004231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Отчета должна отражать деятельность Подрядчика по выполнению исследовательской работы.</w:t>
      </w:r>
    </w:p>
    <w:p w14:paraId="23025A69" w14:textId="77777777" w:rsidR="000E1DF1" w:rsidRDefault="004231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должно содержать краткие выводы по результатам выполнения исследовательской работы, оценку полноты решений целей и задач, указанных в пункте 3 настоящего Технического задания.</w:t>
      </w:r>
    </w:p>
    <w:p w14:paraId="2C532811" w14:textId="77777777" w:rsidR="000E1DF1" w:rsidRDefault="004231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и (или) материалы, связанные с выполнением исследовательской работы, которые не могут быть включены в основную часть Отчета или которые целесообразно представлять в виде отдельно указанных документов, рекомендуется включать в Приложения.</w:t>
      </w:r>
    </w:p>
    <w:p w14:paraId="0D34D751" w14:textId="77777777" w:rsidR="000E1DF1" w:rsidRDefault="004231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отчета должен составлять не менее 60 страниц.</w:t>
      </w:r>
    </w:p>
    <w:p w14:paraId="3F34E850" w14:textId="77777777" w:rsidR="000E1DF1" w:rsidRDefault="000E1DF1">
      <w:pPr>
        <w:pStyle w:val="ListParagraph1"/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BC10D24" w14:textId="77777777" w:rsidR="000E1DF1" w:rsidRDefault="00423114">
      <w:pPr>
        <w:pStyle w:val="2"/>
        <w:spacing w:before="0" w:after="0"/>
        <w:ind w:firstLine="709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5.2 Порядок предоставления отчетных материалов</w:t>
      </w:r>
    </w:p>
    <w:p w14:paraId="6822143D" w14:textId="77777777" w:rsidR="000E1DF1" w:rsidRDefault="00423114">
      <w:pPr>
        <w:pStyle w:val="ListParagraph1"/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Отчетные материалы по результатам выполнения аналитической работы представляются Заказчику на бумажном носителе в одном экземпляре по адресу: г. Москва, ул. Мясницкая, д. 13, стр. 18, а также </w:t>
      </w:r>
      <w:r>
        <w:rPr>
          <w:rFonts w:ascii="Times New Roman" w:hAnsi="Times New Roman"/>
          <w:sz w:val="28"/>
          <w:szCs w:val="28"/>
        </w:rPr>
        <w:lastRenderedPageBreak/>
        <w:t xml:space="preserve">направляются в электронном виде по электронному адресу: </w:t>
      </w:r>
      <w:hyperlink r:id="rId11" w:history="1">
        <w:r>
          <w:rPr>
            <w:rStyle w:val="a5"/>
            <w:rFonts w:ascii="Times New Roman" w:hAnsi="Times New Roman"/>
            <w:sz w:val="28"/>
            <w:szCs w:val="28"/>
          </w:rPr>
          <w:t>Kzendrikov@iidf.ru</w:t>
        </w:r>
      </w:hyperlink>
      <w:r>
        <w:rPr>
          <w:rFonts w:ascii="Times New Roman" w:hAnsi="Times New Roman"/>
          <w:sz w:val="28"/>
          <w:szCs w:val="28"/>
        </w:rPr>
        <w:t>. Контактное лицо: Зендриков Кирилл Юрьевич.</w:t>
      </w:r>
    </w:p>
    <w:p w14:paraId="7E6F533B" w14:textId="77777777" w:rsidR="000E1DF1" w:rsidRDefault="000E1DF1">
      <w:pPr>
        <w:pStyle w:val="ListParagraph1"/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FD8EDEE" w14:textId="77777777" w:rsidR="000E1DF1" w:rsidRDefault="00423114">
      <w:pPr>
        <w:pStyle w:val="1"/>
        <w:spacing w:before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Сроки и место выполнения работы</w:t>
      </w:r>
    </w:p>
    <w:p w14:paraId="102C81BB" w14:textId="77777777" w:rsidR="000E1DF1" w:rsidRDefault="00423114">
      <w:pPr>
        <w:pStyle w:val="2"/>
        <w:spacing w:before="0" w:after="0"/>
        <w:ind w:firstLine="709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6.1 Этапы</w:t>
      </w:r>
    </w:p>
    <w:p w14:paraId="1679943D" w14:textId="77777777" w:rsidR="000E1DF1" w:rsidRDefault="00423114">
      <w:pPr>
        <w:pStyle w:val="ListParagraph1"/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Исследование выполняется в один этап: с момента заключения настоящего договора до 01.10.2024.</w:t>
      </w:r>
    </w:p>
    <w:p w14:paraId="5138AF91" w14:textId="77777777" w:rsidR="000E1DF1" w:rsidRDefault="00423114">
      <w:pPr>
        <w:pStyle w:val="2"/>
        <w:spacing w:before="0" w:after="0"/>
        <w:ind w:firstLine="709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6.2 Место выполнения работ</w:t>
      </w:r>
    </w:p>
    <w:p w14:paraId="06B42B7D" w14:textId="77777777" w:rsidR="000E1DF1" w:rsidRDefault="00423114">
      <w:pPr>
        <w:pStyle w:val="ListParagraph1"/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выполнения работ – г. Москва.</w:t>
      </w:r>
    </w:p>
    <w:p w14:paraId="48F51DC5" w14:textId="77777777" w:rsidR="000E1DF1" w:rsidRDefault="000E1DF1">
      <w:pPr>
        <w:pStyle w:val="ListParagraph1"/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E83F3B7" w14:textId="77777777" w:rsidR="000E1DF1" w:rsidRDefault="00423114">
      <w:pPr>
        <w:pStyle w:val="1"/>
        <w:spacing w:before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Отчётные материалы по результатам выполнения работы</w:t>
      </w:r>
    </w:p>
    <w:p w14:paraId="2729BBED" w14:textId="77777777" w:rsidR="000E1DF1" w:rsidRDefault="00423114">
      <w:pPr>
        <w:pStyle w:val="2"/>
        <w:spacing w:before="0" w:after="0"/>
        <w:ind w:firstLine="709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7.1 Итоги выполнения Договора</w:t>
      </w:r>
    </w:p>
    <w:p w14:paraId="071B4419" w14:textId="77777777" w:rsidR="000E1DF1" w:rsidRDefault="00423114">
      <w:pPr>
        <w:pStyle w:val="ListParagraph1"/>
        <w:widowControl w:val="0"/>
        <w:shd w:val="clear" w:color="auto" w:fill="FFFFFF" w:themeFill="background1"/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выполнения Договора должен быть подготовлен Отчет об аналитической работе, содержащий результаты выполнения работ в соответствии с целями и задачами аналитической работы (п.3 Технического задания).</w:t>
      </w:r>
    </w:p>
    <w:sectPr w:rsidR="000E1DF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1754F" w14:textId="77777777" w:rsidR="00423114" w:rsidRDefault="00423114">
      <w:pPr>
        <w:spacing w:line="240" w:lineRule="auto"/>
      </w:pPr>
      <w:r>
        <w:separator/>
      </w:r>
    </w:p>
  </w:endnote>
  <w:endnote w:type="continuationSeparator" w:id="0">
    <w:p w14:paraId="2CB9BCFA" w14:textId="77777777" w:rsidR="00423114" w:rsidRDefault="004231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60">
    <w:altName w:val="Times New Roman"/>
    <w:charset w:val="CC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F6917" w14:textId="77777777" w:rsidR="00423114" w:rsidRDefault="00423114">
      <w:pPr>
        <w:spacing w:after="0"/>
      </w:pPr>
      <w:r>
        <w:separator/>
      </w:r>
    </w:p>
  </w:footnote>
  <w:footnote w:type="continuationSeparator" w:id="0">
    <w:p w14:paraId="0922D968" w14:textId="77777777" w:rsidR="00423114" w:rsidRDefault="004231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6485047"/>
    </w:sdtPr>
    <w:sdtEndPr/>
    <w:sdtContent>
      <w:p w14:paraId="730B124D" w14:textId="77777777" w:rsidR="000E1DF1" w:rsidRDefault="00423114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55D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92AA9"/>
    <w:multiLevelType w:val="multilevel"/>
    <w:tmpl w:val="0EA92AA9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F4355"/>
    <w:multiLevelType w:val="multilevel"/>
    <w:tmpl w:val="9E768106"/>
    <w:lvl w:ilvl="0">
      <w:start w:val="1"/>
      <w:numFmt w:val="decimal"/>
      <w:lvlText w:val="2.1.2.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76F85"/>
    <w:multiLevelType w:val="multilevel"/>
    <w:tmpl w:val="46D76F85"/>
    <w:lvl w:ilvl="0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0" w:hanging="360"/>
      </w:pPr>
    </w:lvl>
    <w:lvl w:ilvl="2">
      <w:start w:val="1"/>
      <w:numFmt w:val="lowerRoman"/>
      <w:lvlText w:val="%3."/>
      <w:lvlJc w:val="right"/>
      <w:pPr>
        <w:ind w:left="1870" w:hanging="180"/>
      </w:pPr>
    </w:lvl>
    <w:lvl w:ilvl="3">
      <w:start w:val="1"/>
      <w:numFmt w:val="decimal"/>
      <w:lvlText w:val="%4."/>
      <w:lvlJc w:val="left"/>
      <w:pPr>
        <w:ind w:left="2590" w:hanging="360"/>
      </w:pPr>
    </w:lvl>
    <w:lvl w:ilvl="4">
      <w:start w:val="1"/>
      <w:numFmt w:val="lowerLetter"/>
      <w:lvlText w:val="%5."/>
      <w:lvlJc w:val="left"/>
      <w:pPr>
        <w:ind w:left="3310" w:hanging="360"/>
      </w:pPr>
    </w:lvl>
    <w:lvl w:ilvl="5">
      <w:start w:val="1"/>
      <w:numFmt w:val="lowerRoman"/>
      <w:lvlText w:val="%6."/>
      <w:lvlJc w:val="right"/>
      <w:pPr>
        <w:ind w:left="4030" w:hanging="180"/>
      </w:pPr>
    </w:lvl>
    <w:lvl w:ilvl="6">
      <w:start w:val="1"/>
      <w:numFmt w:val="decimal"/>
      <w:lvlText w:val="%7."/>
      <w:lvlJc w:val="left"/>
      <w:pPr>
        <w:ind w:left="4750" w:hanging="360"/>
      </w:pPr>
    </w:lvl>
    <w:lvl w:ilvl="7">
      <w:start w:val="1"/>
      <w:numFmt w:val="lowerLetter"/>
      <w:lvlText w:val="%8."/>
      <w:lvlJc w:val="left"/>
      <w:pPr>
        <w:ind w:left="5470" w:hanging="360"/>
      </w:pPr>
    </w:lvl>
    <w:lvl w:ilvl="8">
      <w:start w:val="1"/>
      <w:numFmt w:val="lowerRoman"/>
      <w:lvlText w:val="%9."/>
      <w:lvlJc w:val="right"/>
      <w:pPr>
        <w:ind w:left="6190" w:hanging="180"/>
      </w:pPr>
    </w:lvl>
  </w:abstractNum>
  <w:num w:numId="1" w16cid:durableId="111168616">
    <w:abstractNumId w:val="0"/>
  </w:num>
  <w:num w:numId="2" w16cid:durableId="1397388671">
    <w:abstractNumId w:val="2"/>
  </w:num>
  <w:num w:numId="3" w16cid:durableId="1507595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2AD"/>
    <w:rsid w:val="00000CCF"/>
    <w:rsid w:val="0000407A"/>
    <w:rsid w:val="0000439C"/>
    <w:rsid w:val="0000672A"/>
    <w:rsid w:val="000173CD"/>
    <w:rsid w:val="00026A43"/>
    <w:rsid w:val="0002771F"/>
    <w:rsid w:val="00032D2C"/>
    <w:rsid w:val="00050817"/>
    <w:rsid w:val="00053E59"/>
    <w:rsid w:val="00060315"/>
    <w:rsid w:val="000611C9"/>
    <w:rsid w:val="00064CFC"/>
    <w:rsid w:val="00067831"/>
    <w:rsid w:val="00074CD2"/>
    <w:rsid w:val="00087323"/>
    <w:rsid w:val="00093305"/>
    <w:rsid w:val="000A2860"/>
    <w:rsid w:val="000A312F"/>
    <w:rsid w:val="000A67E8"/>
    <w:rsid w:val="000B2A3A"/>
    <w:rsid w:val="000C112E"/>
    <w:rsid w:val="000C18BB"/>
    <w:rsid w:val="000C44DB"/>
    <w:rsid w:val="000C6A07"/>
    <w:rsid w:val="000D1B9A"/>
    <w:rsid w:val="000E1DF1"/>
    <w:rsid w:val="000E662F"/>
    <w:rsid w:val="000F2C75"/>
    <w:rsid w:val="001033CB"/>
    <w:rsid w:val="0010557D"/>
    <w:rsid w:val="001130B0"/>
    <w:rsid w:val="0011702A"/>
    <w:rsid w:val="0015069E"/>
    <w:rsid w:val="00156772"/>
    <w:rsid w:val="00162E94"/>
    <w:rsid w:val="00165CBB"/>
    <w:rsid w:val="00174B8D"/>
    <w:rsid w:val="00176C02"/>
    <w:rsid w:val="001875EE"/>
    <w:rsid w:val="0019169D"/>
    <w:rsid w:val="001B5579"/>
    <w:rsid w:val="001C385B"/>
    <w:rsid w:val="001D1862"/>
    <w:rsid w:val="001E55F8"/>
    <w:rsid w:val="002016BB"/>
    <w:rsid w:val="00226D18"/>
    <w:rsid w:val="00235922"/>
    <w:rsid w:val="002434DE"/>
    <w:rsid w:val="00243B60"/>
    <w:rsid w:val="00243D21"/>
    <w:rsid w:val="00264058"/>
    <w:rsid w:val="002642E4"/>
    <w:rsid w:val="002659F5"/>
    <w:rsid w:val="00270542"/>
    <w:rsid w:val="00281315"/>
    <w:rsid w:val="00292F90"/>
    <w:rsid w:val="002A0366"/>
    <w:rsid w:val="002A6DA1"/>
    <w:rsid w:val="002B062A"/>
    <w:rsid w:val="002B4B5C"/>
    <w:rsid w:val="002C1D3C"/>
    <w:rsid w:val="002D5379"/>
    <w:rsid w:val="002F009B"/>
    <w:rsid w:val="002F398C"/>
    <w:rsid w:val="002F43F7"/>
    <w:rsid w:val="00304B23"/>
    <w:rsid w:val="0032228E"/>
    <w:rsid w:val="00324B54"/>
    <w:rsid w:val="00324F11"/>
    <w:rsid w:val="00330042"/>
    <w:rsid w:val="00330D9B"/>
    <w:rsid w:val="00340780"/>
    <w:rsid w:val="00340974"/>
    <w:rsid w:val="00346402"/>
    <w:rsid w:val="00353F63"/>
    <w:rsid w:val="00355116"/>
    <w:rsid w:val="00357103"/>
    <w:rsid w:val="00361D3A"/>
    <w:rsid w:val="003642DA"/>
    <w:rsid w:val="00372355"/>
    <w:rsid w:val="003760C7"/>
    <w:rsid w:val="003813A6"/>
    <w:rsid w:val="00383A52"/>
    <w:rsid w:val="003875B8"/>
    <w:rsid w:val="00393F8D"/>
    <w:rsid w:val="00396593"/>
    <w:rsid w:val="003B09BA"/>
    <w:rsid w:val="003B3261"/>
    <w:rsid w:val="003B5239"/>
    <w:rsid w:val="003C4F68"/>
    <w:rsid w:val="003C6E6E"/>
    <w:rsid w:val="003C7382"/>
    <w:rsid w:val="003D46A8"/>
    <w:rsid w:val="003D4D6A"/>
    <w:rsid w:val="003D5A8A"/>
    <w:rsid w:val="003D5BA3"/>
    <w:rsid w:val="003D6A7F"/>
    <w:rsid w:val="003D7F9A"/>
    <w:rsid w:val="003E0F2E"/>
    <w:rsid w:val="00401F56"/>
    <w:rsid w:val="004027FA"/>
    <w:rsid w:val="00412F88"/>
    <w:rsid w:val="00417A99"/>
    <w:rsid w:val="00421E2B"/>
    <w:rsid w:val="00422D8B"/>
    <w:rsid w:val="00423114"/>
    <w:rsid w:val="00423AC1"/>
    <w:rsid w:val="0045369C"/>
    <w:rsid w:val="00454D88"/>
    <w:rsid w:val="00457D2B"/>
    <w:rsid w:val="004656DF"/>
    <w:rsid w:val="00472B17"/>
    <w:rsid w:val="00482562"/>
    <w:rsid w:val="0048460D"/>
    <w:rsid w:val="00490A0C"/>
    <w:rsid w:val="00495A4A"/>
    <w:rsid w:val="004A06F6"/>
    <w:rsid w:val="004A2052"/>
    <w:rsid w:val="004A4B39"/>
    <w:rsid w:val="004B3D36"/>
    <w:rsid w:val="004C5C9A"/>
    <w:rsid w:val="004D1581"/>
    <w:rsid w:val="004D5E95"/>
    <w:rsid w:val="004D755D"/>
    <w:rsid w:val="004E12E4"/>
    <w:rsid w:val="004E5ACB"/>
    <w:rsid w:val="004F06E3"/>
    <w:rsid w:val="00507224"/>
    <w:rsid w:val="00511EA3"/>
    <w:rsid w:val="0051582D"/>
    <w:rsid w:val="0052332E"/>
    <w:rsid w:val="005266A3"/>
    <w:rsid w:val="00531BFB"/>
    <w:rsid w:val="00533F56"/>
    <w:rsid w:val="00536F8B"/>
    <w:rsid w:val="00542744"/>
    <w:rsid w:val="0054551A"/>
    <w:rsid w:val="005470D3"/>
    <w:rsid w:val="00554271"/>
    <w:rsid w:val="00556BDE"/>
    <w:rsid w:val="00562FD6"/>
    <w:rsid w:val="00570DC4"/>
    <w:rsid w:val="00583A12"/>
    <w:rsid w:val="0058445B"/>
    <w:rsid w:val="005949EF"/>
    <w:rsid w:val="00594B47"/>
    <w:rsid w:val="005A0B4E"/>
    <w:rsid w:val="005A6F8E"/>
    <w:rsid w:val="005B0972"/>
    <w:rsid w:val="005B358D"/>
    <w:rsid w:val="005C5DCE"/>
    <w:rsid w:val="005D3301"/>
    <w:rsid w:val="005D49E0"/>
    <w:rsid w:val="005D55EF"/>
    <w:rsid w:val="005E6B59"/>
    <w:rsid w:val="0060209D"/>
    <w:rsid w:val="006020D6"/>
    <w:rsid w:val="00615827"/>
    <w:rsid w:val="00620ACF"/>
    <w:rsid w:val="00622504"/>
    <w:rsid w:val="006236AD"/>
    <w:rsid w:val="00624475"/>
    <w:rsid w:val="00637026"/>
    <w:rsid w:val="0064359C"/>
    <w:rsid w:val="00645AF4"/>
    <w:rsid w:val="00646577"/>
    <w:rsid w:val="006469EA"/>
    <w:rsid w:val="00650547"/>
    <w:rsid w:val="0065307D"/>
    <w:rsid w:val="00660438"/>
    <w:rsid w:val="006618FC"/>
    <w:rsid w:val="00661A9F"/>
    <w:rsid w:val="00664E98"/>
    <w:rsid w:val="00673013"/>
    <w:rsid w:val="00675A3D"/>
    <w:rsid w:val="006774A5"/>
    <w:rsid w:val="006826EF"/>
    <w:rsid w:val="00691C2A"/>
    <w:rsid w:val="00696A43"/>
    <w:rsid w:val="006A0493"/>
    <w:rsid w:val="006A2168"/>
    <w:rsid w:val="006A3D9A"/>
    <w:rsid w:val="006B2B98"/>
    <w:rsid w:val="006B725D"/>
    <w:rsid w:val="006B74F8"/>
    <w:rsid w:val="006C42CE"/>
    <w:rsid w:val="006C437A"/>
    <w:rsid w:val="006D77DB"/>
    <w:rsid w:val="006E3003"/>
    <w:rsid w:val="006F0496"/>
    <w:rsid w:val="00702099"/>
    <w:rsid w:val="007115A0"/>
    <w:rsid w:val="00713841"/>
    <w:rsid w:val="0071570B"/>
    <w:rsid w:val="007158F4"/>
    <w:rsid w:val="007253C3"/>
    <w:rsid w:val="00730F89"/>
    <w:rsid w:val="00737CE8"/>
    <w:rsid w:val="0074529D"/>
    <w:rsid w:val="0074530A"/>
    <w:rsid w:val="00747FE8"/>
    <w:rsid w:val="007571BB"/>
    <w:rsid w:val="007663FC"/>
    <w:rsid w:val="00767A2E"/>
    <w:rsid w:val="00771CBB"/>
    <w:rsid w:val="00775710"/>
    <w:rsid w:val="00777094"/>
    <w:rsid w:val="007912C9"/>
    <w:rsid w:val="007943E1"/>
    <w:rsid w:val="007A32AD"/>
    <w:rsid w:val="007A38B1"/>
    <w:rsid w:val="007A6E63"/>
    <w:rsid w:val="007B0D0C"/>
    <w:rsid w:val="007B3401"/>
    <w:rsid w:val="007B3988"/>
    <w:rsid w:val="007B680D"/>
    <w:rsid w:val="007B71C6"/>
    <w:rsid w:val="007C6C17"/>
    <w:rsid w:val="007C7F90"/>
    <w:rsid w:val="007D14B1"/>
    <w:rsid w:val="007D4350"/>
    <w:rsid w:val="007D5BA7"/>
    <w:rsid w:val="007E00B9"/>
    <w:rsid w:val="007F6203"/>
    <w:rsid w:val="00816F8A"/>
    <w:rsid w:val="0082549E"/>
    <w:rsid w:val="00843710"/>
    <w:rsid w:val="0084509C"/>
    <w:rsid w:val="00852D5B"/>
    <w:rsid w:val="0085422B"/>
    <w:rsid w:val="00857F3E"/>
    <w:rsid w:val="00863D7F"/>
    <w:rsid w:val="00873949"/>
    <w:rsid w:val="008755F7"/>
    <w:rsid w:val="0087750F"/>
    <w:rsid w:val="00882619"/>
    <w:rsid w:val="00886CB2"/>
    <w:rsid w:val="00892834"/>
    <w:rsid w:val="008A1FDD"/>
    <w:rsid w:val="008A52C5"/>
    <w:rsid w:val="008A5B2B"/>
    <w:rsid w:val="008B061A"/>
    <w:rsid w:val="008B22D8"/>
    <w:rsid w:val="008C042A"/>
    <w:rsid w:val="008C6DB2"/>
    <w:rsid w:val="008E2768"/>
    <w:rsid w:val="008E68BD"/>
    <w:rsid w:val="0090313D"/>
    <w:rsid w:val="009121AB"/>
    <w:rsid w:val="009121B9"/>
    <w:rsid w:val="0091523F"/>
    <w:rsid w:val="009157F5"/>
    <w:rsid w:val="009231C4"/>
    <w:rsid w:val="009262D0"/>
    <w:rsid w:val="00934BB5"/>
    <w:rsid w:val="0094253F"/>
    <w:rsid w:val="009601A4"/>
    <w:rsid w:val="0096028E"/>
    <w:rsid w:val="00964D47"/>
    <w:rsid w:val="00965269"/>
    <w:rsid w:val="00972D5F"/>
    <w:rsid w:val="009740E8"/>
    <w:rsid w:val="00976B3F"/>
    <w:rsid w:val="00981188"/>
    <w:rsid w:val="009930E3"/>
    <w:rsid w:val="009934D2"/>
    <w:rsid w:val="0099491F"/>
    <w:rsid w:val="00995A98"/>
    <w:rsid w:val="00995F97"/>
    <w:rsid w:val="00996431"/>
    <w:rsid w:val="00997845"/>
    <w:rsid w:val="009A1038"/>
    <w:rsid w:val="009B33C3"/>
    <w:rsid w:val="009C0E0D"/>
    <w:rsid w:val="009C16C8"/>
    <w:rsid w:val="009C431F"/>
    <w:rsid w:val="009D557A"/>
    <w:rsid w:val="009E216B"/>
    <w:rsid w:val="009E4100"/>
    <w:rsid w:val="009E61EE"/>
    <w:rsid w:val="009E7F70"/>
    <w:rsid w:val="009F0E4A"/>
    <w:rsid w:val="009F23E4"/>
    <w:rsid w:val="009F2786"/>
    <w:rsid w:val="009F7BF0"/>
    <w:rsid w:val="00A017CC"/>
    <w:rsid w:val="00A03D48"/>
    <w:rsid w:val="00A05BA4"/>
    <w:rsid w:val="00A0682F"/>
    <w:rsid w:val="00A40878"/>
    <w:rsid w:val="00A44A66"/>
    <w:rsid w:val="00A45FB4"/>
    <w:rsid w:val="00A52122"/>
    <w:rsid w:val="00A7010D"/>
    <w:rsid w:val="00A732DB"/>
    <w:rsid w:val="00A7608E"/>
    <w:rsid w:val="00A76B8A"/>
    <w:rsid w:val="00A77B9F"/>
    <w:rsid w:val="00A808D9"/>
    <w:rsid w:val="00AA1B0A"/>
    <w:rsid w:val="00AA61D4"/>
    <w:rsid w:val="00AB1463"/>
    <w:rsid w:val="00AB27F8"/>
    <w:rsid w:val="00AC54F1"/>
    <w:rsid w:val="00AE5EB0"/>
    <w:rsid w:val="00AE6F40"/>
    <w:rsid w:val="00AF0265"/>
    <w:rsid w:val="00AF1167"/>
    <w:rsid w:val="00AF1191"/>
    <w:rsid w:val="00AF5341"/>
    <w:rsid w:val="00B006FB"/>
    <w:rsid w:val="00B03F94"/>
    <w:rsid w:val="00B07C9C"/>
    <w:rsid w:val="00B13E96"/>
    <w:rsid w:val="00B21D27"/>
    <w:rsid w:val="00B22DA0"/>
    <w:rsid w:val="00B266DC"/>
    <w:rsid w:val="00B26A2A"/>
    <w:rsid w:val="00B30BD0"/>
    <w:rsid w:val="00B35A7E"/>
    <w:rsid w:val="00B41F2B"/>
    <w:rsid w:val="00B51822"/>
    <w:rsid w:val="00B5624F"/>
    <w:rsid w:val="00B5699A"/>
    <w:rsid w:val="00B56C4F"/>
    <w:rsid w:val="00B57BEF"/>
    <w:rsid w:val="00B57C5F"/>
    <w:rsid w:val="00B61F1A"/>
    <w:rsid w:val="00B65318"/>
    <w:rsid w:val="00B66687"/>
    <w:rsid w:val="00B710FB"/>
    <w:rsid w:val="00B716B4"/>
    <w:rsid w:val="00B754B0"/>
    <w:rsid w:val="00B77D2B"/>
    <w:rsid w:val="00B8646B"/>
    <w:rsid w:val="00B92C61"/>
    <w:rsid w:val="00B936AE"/>
    <w:rsid w:val="00B966C7"/>
    <w:rsid w:val="00B972AA"/>
    <w:rsid w:val="00BA1C56"/>
    <w:rsid w:val="00BC3B46"/>
    <w:rsid w:val="00BC4D5C"/>
    <w:rsid w:val="00BC73C1"/>
    <w:rsid w:val="00BD1724"/>
    <w:rsid w:val="00BD4362"/>
    <w:rsid w:val="00BD4526"/>
    <w:rsid w:val="00BE587A"/>
    <w:rsid w:val="00BF03DC"/>
    <w:rsid w:val="00BF4A8F"/>
    <w:rsid w:val="00C03376"/>
    <w:rsid w:val="00C13E08"/>
    <w:rsid w:val="00C2136E"/>
    <w:rsid w:val="00C23157"/>
    <w:rsid w:val="00C2672F"/>
    <w:rsid w:val="00C33E63"/>
    <w:rsid w:val="00C37061"/>
    <w:rsid w:val="00C37BC8"/>
    <w:rsid w:val="00C42E64"/>
    <w:rsid w:val="00C50CA3"/>
    <w:rsid w:val="00C5221A"/>
    <w:rsid w:val="00C5384D"/>
    <w:rsid w:val="00C645F4"/>
    <w:rsid w:val="00C74349"/>
    <w:rsid w:val="00C8220F"/>
    <w:rsid w:val="00CB2EB9"/>
    <w:rsid w:val="00CB48CC"/>
    <w:rsid w:val="00CB4A73"/>
    <w:rsid w:val="00CB5D1F"/>
    <w:rsid w:val="00CD2EC0"/>
    <w:rsid w:val="00CD373A"/>
    <w:rsid w:val="00CE1D7C"/>
    <w:rsid w:val="00CE32DD"/>
    <w:rsid w:val="00CE5264"/>
    <w:rsid w:val="00CE6F23"/>
    <w:rsid w:val="00CF32AA"/>
    <w:rsid w:val="00CF4A83"/>
    <w:rsid w:val="00CF78D7"/>
    <w:rsid w:val="00D05B2A"/>
    <w:rsid w:val="00D06521"/>
    <w:rsid w:val="00D0753A"/>
    <w:rsid w:val="00D140B8"/>
    <w:rsid w:val="00D141C8"/>
    <w:rsid w:val="00D2471E"/>
    <w:rsid w:val="00D308C3"/>
    <w:rsid w:val="00D342B7"/>
    <w:rsid w:val="00D3736D"/>
    <w:rsid w:val="00D436E9"/>
    <w:rsid w:val="00D605E0"/>
    <w:rsid w:val="00D64379"/>
    <w:rsid w:val="00D64B54"/>
    <w:rsid w:val="00D73B5B"/>
    <w:rsid w:val="00D75239"/>
    <w:rsid w:val="00D75EA1"/>
    <w:rsid w:val="00D825E5"/>
    <w:rsid w:val="00D90EF2"/>
    <w:rsid w:val="00D915E2"/>
    <w:rsid w:val="00D943BC"/>
    <w:rsid w:val="00DA0D20"/>
    <w:rsid w:val="00DB38E2"/>
    <w:rsid w:val="00DC4535"/>
    <w:rsid w:val="00DC7D15"/>
    <w:rsid w:val="00DD15A0"/>
    <w:rsid w:val="00DF0B05"/>
    <w:rsid w:val="00E12EE9"/>
    <w:rsid w:val="00E1404F"/>
    <w:rsid w:val="00E26203"/>
    <w:rsid w:val="00E43352"/>
    <w:rsid w:val="00E43E09"/>
    <w:rsid w:val="00E446D5"/>
    <w:rsid w:val="00E44C75"/>
    <w:rsid w:val="00E67C22"/>
    <w:rsid w:val="00E834A8"/>
    <w:rsid w:val="00E8643E"/>
    <w:rsid w:val="00E93048"/>
    <w:rsid w:val="00EA44C3"/>
    <w:rsid w:val="00EC1EDE"/>
    <w:rsid w:val="00EE17E8"/>
    <w:rsid w:val="00EE4AD3"/>
    <w:rsid w:val="00EE4EA6"/>
    <w:rsid w:val="00EF6CDA"/>
    <w:rsid w:val="00F04971"/>
    <w:rsid w:val="00F05083"/>
    <w:rsid w:val="00F06E6D"/>
    <w:rsid w:val="00F07DF7"/>
    <w:rsid w:val="00F26050"/>
    <w:rsid w:val="00F316FC"/>
    <w:rsid w:val="00F32CF6"/>
    <w:rsid w:val="00F41C33"/>
    <w:rsid w:val="00F45E69"/>
    <w:rsid w:val="00F47763"/>
    <w:rsid w:val="00F501D3"/>
    <w:rsid w:val="00F54E78"/>
    <w:rsid w:val="00F55EBB"/>
    <w:rsid w:val="00F675EB"/>
    <w:rsid w:val="00F70092"/>
    <w:rsid w:val="00F85721"/>
    <w:rsid w:val="00F929B7"/>
    <w:rsid w:val="00F93847"/>
    <w:rsid w:val="00FA558C"/>
    <w:rsid w:val="00FA60A1"/>
    <w:rsid w:val="00FA7D20"/>
    <w:rsid w:val="00FB462B"/>
    <w:rsid w:val="00FC018D"/>
    <w:rsid w:val="00FD6110"/>
    <w:rsid w:val="00FE55A2"/>
    <w:rsid w:val="00FF3E89"/>
    <w:rsid w:val="00FF6D06"/>
    <w:rsid w:val="0EAF1D64"/>
    <w:rsid w:val="0F1A5EF9"/>
    <w:rsid w:val="101E1039"/>
    <w:rsid w:val="1E9A710B"/>
    <w:rsid w:val="246E017F"/>
    <w:rsid w:val="3CD4473E"/>
    <w:rsid w:val="41B02C37"/>
    <w:rsid w:val="47E931CA"/>
    <w:rsid w:val="530E6F9D"/>
    <w:rsid w:val="56542DD4"/>
    <w:rsid w:val="57F83033"/>
    <w:rsid w:val="627272D1"/>
    <w:rsid w:val="6E89469E"/>
    <w:rsid w:val="7A14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7A899"/>
  <w15:docId w15:val="{A566D5B4-20D8-4735-A638-9D11AC2D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200" w:line="276" w:lineRule="auto"/>
    </w:pPr>
    <w:rPr>
      <w:rFonts w:ascii="Calibri" w:eastAsia="Calibri" w:hAnsi="Calibri" w:cs="Mangal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uiPriority w:val="9"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0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header"/>
    <w:basedOn w:val="a0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toc 1"/>
    <w:basedOn w:val="a0"/>
    <w:next w:val="a0"/>
    <w:autoRedefine/>
    <w:uiPriority w:val="39"/>
    <w:unhideWhenUsed/>
    <w:qFormat/>
    <w:pPr>
      <w:spacing w:after="100"/>
    </w:pPr>
  </w:style>
  <w:style w:type="paragraph" w:styleId="ae">
    <w:name w:val="footer"/>
    <w:basedOn w:val="a0"/>
    <w:link w:val="af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List Paragraph"/>
    <w:basedOn w:val="a0"/>
    <w:link w:val="af1"/>
    <w:uiPriority w:val="34"/>
    <w:qFormat/>
    <w:pPr>
      <w:ind w:left="720"/>
      <w:contextualSpacing/>
    </w:pPr>
  </w:style>
  <w:style w:type="character" w:customStyle="1" w:styleId="a9">
    <w:name w:val="Текст примечания Знак"/>
    <w:link w:val="a8"/>
    <w:uiPriority w:val="99"/>
    <w:semiHidden/>
    <w:qFormat/>
    <w:rPr>
      <w:sz w:val="20"/>
      <w:szCs w:val="20"/>
    </w:rPr>
  </w:style>
  <w:style w:type="character" w:customStyle="1" w:styleId="ab">
    <w:name w:val="Тема примечания Знак"/>
    <w:link w:val="aa"/>
    <w:uiPriority w:val="99"/>
    <w:semiHidden/>
    <w:qFormat/>
    <w:rPr>
      <w:b/>
      <w:bCs/>
      <w:sz w:val="20"/>
      <w:szCs w:val="20"/>
    </w:rPr>
  </w:style>
  <w:style w:type="character" w:customStyle="1" w:styleId="a7">
    <w:name w:val="Текст выноски Знак"/>
    <w:link w:val="a6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d">
    <w:name w:val="Верхний колонтитул Знак"/>
    <w:basedOn w:val="a1"/>
    <w:link w:val="ac"/>
    <w:uiPriority w:val="99"/>
    <w:qFormat/>
  </w:style>
  <w:style w:type="character" w:customStyle="1" w:styleId="af">
    <w:name w:val="Нижний колонтитул Знак"/>
    <w:basedOn w:val="a1"/>
    <w:link w:val="ae"/>
    <w:uiPriority w:val="99"/>
    <w:qFormat/>
  </w:style>
  <w:style w:type="paragraph" w:customStyle="1" w:styleId="ListParagraph1">
    <w:name w:val="List Paragraph1"/>
    <w:basedOn w:val="a0"/>
    <w:qFormat/>
    <w:pPr>
      <w:suppressAutoHyphens/>
      <w:spacing w:after="160" w:line="252" w:lineRule="auto"/>
      <w:ind w:left="720"/>
    </w:pPr>
    <w:rPr>
      <w:rFonts w:eastAsia="SimSun" w:cs="font260"/>
      <w:lang w:eastAsia="ar-SA"/>
    </w:rPr>
  </w:style>
  <w:style w:type="character" w:customStyle="1" w:styleId="af1">
    <w:name w:val="Абзац списка Знак"/>
    <w:link w:val="af0"/>
    <w:uiPriority w:val="34"/>
    <w:qFormat/>
  </w:style>
  <w:style w:type="paragraph" w:styleId="a">
    <w:name w:val="No Spacing"/>
    <w:basedOn w:val="af0"/>
    <w:uiPriority w:val="1"/>
    <w:qFormat/>
    <w:pPr>
      <w:numPr>
        <w:numId w:val="1"/>
      </w:numPr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Revision1">
    <w:name w:val="Revision1"/>
    <w:hidden/>
    <w:uiPriority w:val="99"/>
    <w:semiHidden/>
    <w:qFormat/>
    <w:rPr>
      <w:rFonts w:ascii="Calibri" w:eastAsia="Calibri" w:hAnsi="Calibri" w:cs="Mangal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TOCHeading1">
    <w:name w:val="TOC Heading1"/>
    <w:basedOn w:val="1"/>
    <w:next w:val="a0"/>
    <w:uiPriority w:val="39"/>
    <w:unhideWhenUsed/>
    <w:qFormat/>
    <w:pPr>
      <w:spacing w:line="259" w:lineRule="auto"/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zendrikov@iidf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CF5FB4.F6EB6E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1F9CE-93CF-4656-9951-2C26B10E8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2435</Words>
  <Characters>13884</Characters>
  <Application>Microsoft Office Word</Application>
  <DocSecurity>0</DocSecurity>
  <Lines>115</Lines>
  <Paragraphs>32</Paragraphs>
  <ScaleCrop>false</ScaleCrop>
  <Company/>
  <LinksUpToDate>false</LinksUpToDate>
  <CharactersWithSpaces>16287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Матвеев</dc:creator>
  <cp:lastModifiedBy>user11</cp:lastModifiedBy>
  <cp:revision>17</cp:revision>
  <cp:lastPrinted>2024-06-14T09:05:00Z</cp:lastPrinted>
  <dcterms:created xsi:type="dcterms:W3CDTF">2024-06-04T10:19:00Z</dcterms:created>
  <dcterms:modified xsi:type="dcterms:W3CDTF">2024-06-24T11:08:00Z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AED27403EFE44998854B87C89E450A68_13</vt:lpwstr>
  </property>
</Properties>
</file>